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BC2" w:rsidRDefault="00491272">
      <w:proofErr w:type="spellStart"/>
      <w:r>
        <w:t>Ch</w:t>
      </w:r>
      <w:proofErr w:type="spellEnd"/>
      <w:r>
        <w:t xml:space="preserve"> 12</w:t>
      </w:r>
    </w:p>
    <w:p w:rsidR="00491272" w:rsidRPr="00491272" w:rsidRDefault="00491272" w:rsidP="00491272">
      <w:pPr>
        <w:pStyle w:val="NormalWeb"/>
        <w:numPr>
          <w:ilvl w:val="0"/>
          <w:numId w:val="2"/>
        </w:numPr>
        <w:shd w:val="clear" w:color="auto" w:fill="FFFFFF"/>
        <w:spacing w:before="0" w:beforeAutospacing="0" w:line="360" w:lineRule="atLeast"/>
        <w:rPr>
          <w:rFonts w:ascii="Verdana" w:hAnsi="Verdana"/>
          <w:color w:val="333333"/>
          <w:sz w:val="18"/>
          <w:szCs w:val="18"/>
        </w:rPr>
      </w:pPr>
      <w:r>
        <w:t>C</w:t>
      </w:r>
      <w:r w:rsidRPr="00491272">
        <w:rPr>
          <w:rFonts w:ascii="Verdana" w:hAnsi="Verdana"/>
          <w:color w:val="333333"/>
          <w:sz w:val="18"/>
          <w:szCs w:val="18"/>
        </w:rPr>
        <w:t>alculating Average Operating Assets, Margin, Turnover, and Return on Investment</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East </w:t>
      </w:r>
      <w:proofErr w:type="spellStart"/>
      <w:r w:rsidRPr="00491272">
        <w:rPr>
          <w:rFonts w:ascii="Verdana" w:eastAsia="Times New Roman" w:hAnsi="Verdana" w:cs="Times New Roman"/>
          <w:color w:val="333333"/>
          <w:sz w:val="18"/>
          <w:szCs w:val="18"/>
        </w:rPr>
        <w:t>Mullett</w:t>
      </w:r>
      <w:proofErr w:type="spellEnd"/>
      <w:r w:rsidRPr="00491272">
        <w:rPr>
          <w:rFonts w:ascii="Verdana" w:eastAsia="Times New Roman" w:hAnsi="Verdana" w:cs="Times New Roman"/>
          <w:color w:val="333333"/>
          <w:sz w:val="18"/>
          <w:szCs w:val="18"/>
        </w:rPr>
        <w:t xml:space="preserve"> Manufacturing earned operating income last year as shown in the following income statement:</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400"/>
        <w:gridCol w:w="957"/>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Sales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$531,250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Cost of goods sold</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280,000</w:t>
            </w:r>
          </w:p>
        </w:tc>
      </w:tr>
      <w:tr w:rsidR="00491272" w:rsidRPr="00491272" w:rsidTr="00491272">
        <w:trPr>
          <w:tblCellSpacing w:w="0" w:type="dxa"/>
        </w:trPr>
        <w:tc>
          <w:tcPr>
            <w:tcW w:w="5400" w:type="dxa"/>
            <w:shd w:val="clear" w:color="auto" w:fill="FFFFFF"/>
            <w:noWrap/>
            <w:tcMar>
              <w:top w:w="45" w:type="dxa"/>
              <w:left w:w="300" w:type="dxa"/>
              <w:bottom w:w="45" w:type="dxa"/>
              <w:right w:w="45" w:type="dxa"/>
            </w:tcMar>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Gross margin</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$251,250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Selling and administrative expense</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180,800</w:t>
            </w:r>
          </w:p>
        </w:tc>
      </w:tr>
      <w:tr w:rsidR="00491272" w:rsidRPr="00491272" w:rsidTr="00491272">
        <w:trPr>
          <w:tblCellSpacing w:w="0" w:type="dxa"/>
        </w:trPr>
        <w:tc>
          <w:tcPr>
            <w:tcW w:w="5400" w:type="dxa"/>
            <w:shd w:val="clear" w:color="auto" w:fill="FFFFFF"/>
            <w:noWrap/>
            <w:tcMar>
              <w:top w:w="45" w:type="dxa"/>
              <w:left w:w="300" w:type="dxa"/>
              <w:bottom w:w="45" w:type="dxa"/>
              <w:right w:w="45" w:type="dxa"/>
            </w:tcMar>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Operating income</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$70,450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Less: Income taxes (@ 40%)</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28,180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Net income</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$42,270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At the beginning of the year, the value of operating assets was $390,000. At the end of the year, the value of operating assets was $460,000.</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For East </w:t>
      </w:r>
      <w:proofErr w:type="spellStart"/>
      <w:r w:rsidRPr="00491272">
        <w:rPr>
          <w:rFonts w:ascii="Verdana" w:eastAsia="Times New Roman" w:hAnsi="Verdana" w:cs="Times New Roman"/>
          <w:color w:val="333333"/>
          <w:sz w:val="18"/>
          <w:szCs w:val="18"/>
        </w:rPr>
        <w:t>Mullett</w:t>
      </w:r>
      <w:proofErr w:type="spellEnd"/>
      <w:r w:rsidRPr="00491272">
        <w:rPr>
          <w:rFonts w:ascii="Verdana" w:eastAsia="Times New Roman" w:hAnsi="Verdana" w:cs="Times New Roman"/>
          <w:color w:val="333333"/>
          <w:sz w:val="18"/>
          <w:szCs w:val="18"/>
        </w:rPr>
        <w:t xml:space="preserve"> Manufacturing, calculate the following:</w:t>
      </w:r>
    </w:p>
    <w:tbl>
      <w:tblPr>
        <w:tblW w:w="9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7028"/>
        <w:gridCol w:w="2321"/>
        <w:gridCol w:w="401"/>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 Average operating assets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r w:rsidRPr="00491272">
              <w:rPr>
                <w:rFonts w:ascii="Verdana" w:eastAsia="Times New Roman" w:hAnsi="Verdana" w:cs="Times New Roman"/>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in;height:18.6pt" o:ole="">
                  <v:imagedata r:id="rId5" o:title=""/>
                </v:shape>
                <w:control r:id="rId6" w:name="DefaultOcxName" w:shapeid="_x0000_i1064"/>
              </w:objec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  Margin (round to two decimal places)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object w:dxaOrig="1440" w:dyaOrig="1440">
                <v:shape id="_x0000_i1063" type="#_x0000_t75" style="width:1in;height:18.6pt" o:ole="">
                  <v:imagedata r:id="rId5" o:title=""/>
                </v:shape>
                <w:control r:id="rId7" w:name="DefaultOcxName1" w:shapeid="_x0000_i1063"/>
              </w:objec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 Turnover (round to two decimal places)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object w:dxaOrig="1440" w:dyaOrig="1440">
                <v:shape id="_x0000_i1062" type="#_x0000_t75" style="width:1in;height:18.6pt" o:ole="">
                  <v:imagedata r:id="rId5" o:title=""/>
                </v:shape>
                <w:control r:id="rId8" w:name="DefaultOcxName2" w:shapeid="_x0000_i1062"/>
              </w:objec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4. Return on investment (round to one decimal place)</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object w:dxaOrig="1440" w:dyaOrig="1440">
                <v:shape id="_x0000_i1061" type="#_x0000_t75" style="width:1in;height:18.6pt" o:ole="">
                  <v:imagedata r:id="rId5" o:title=""/>
                </v:shape>
                <w:control r:id="rId9" w:name="DefaultOcxName3" w:shapeid="_x0000_i1061"/>
              </w:objec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p>
        </w:tc>
      </w:tr>
    </w:tbl>
    <w:p w:rsidR="00491272" w:rsidRDefault="00491272" w:rsidP="00491272"/>
    <w:p w:rsidR="00491272" w:rsidRPr="00491272" w:rsidRDefault="00491272" w:rsidP="00491272">
      <w:pPr>
        <w:pStyle w:val="ListParagraph"/>
        <w:numPr>
          <w:ilvl w:val="0"/>
          <w:numId w:val="2"/>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Calculating Residual Income</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Pelican Manufacturing earned operating income last year as shown in the following income statement:</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479"/>
        <w:gridCol w:w="1021"/>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Sales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$531,250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Cost of goods sold</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280,000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Gross margin</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$251,250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Selling and administrative expense</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186,000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Operating income</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$65,250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Less: Income taxes (@ 40%)</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26,100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Net income</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$39,150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At the beginning of the year, the value of operating assets was $390,000. At the end of the year, the value of operating assets was $460,000. Pelican requires a minimum rate of return of 10%.</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For Pelican, calculate:</w:t>
      </w:r>
    </w:p>
    <w:tbl>
      <w:tblPr>
        <w:tblW w:w="6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691"/>
        <w:gridCol w:w="2309"/>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 Average operating assets</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r w:rsidRPr="00491272">
              <w:rPr>
                <w:rFonts w:ascii="Verdana" w:eastAsia="Times New Roman" w:hAnsi="Verdana" w:cs="Times New Roman"/>
                <w:color w:val="333333"/>
                <w:sz w:val="18"/>
                <w:szCs w:val="18"/>
              </w:rPr>
              <w:object w:dxaOrig="1440" w:dyaOrig="1440">
                <v:shape id="_x0000_i1070" type="#_x0000_t75" style="width:1in;height:18.6pt" o:ole="">
                  <v:imagedata r:id="rId5" o:title=""/>
                </v:shape>
                <w:control r:id="rId10" w:name="DefaultOcxName4" w:shapeid="_x0000_i1070"/>
              </w:objec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 Residual income</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r w:rsidRPr="00491272">
              <w:rPr>
                <w:rFonts w:ascii="Verdana" w:eastAsia="Times New Roman" w:hAnsi="Verdana" w:cs="Times New Roman"/>
                <w:color w:val="333333"/>
                <w:sz w:val="18"/>
                <w:szCs w:val="18"/>
              </w:rPr>
              <w:object w:dxaOrig="1440" w:dyaOrig="1440">
                <v:shape id="_x0000_i1069" type="#_x0000_t75" style="width:1in;height:18.6pt" o:ole="">
                  <v:imagedata r:id="rId5" o:title=""/>
                </v:shape>
                <w:control r:id="rId11" w:name="DefaultOcxName11" w:shapeid="_x0000_i1069"/>
              </w:object>
            </w:r>
          </w:p>
        </w:tc>
      </w:tr>
    </w:tbl>
    <w:p w:rsidR="00491272" w:rsidRDefault="00491272" w:rsidP="00491272">
      <w:pPr>
        <w:pStyle w:val="ListParagraph"/>
      </w:pPr>
    </w:p>
    <w:p w:rsidR="00491272" w:rsidRDefault="00491272" w:rsidP="00491272">
      <w:pPr>
        <w:pStyle w:val="ListParagraph"/>
      </w:pPr>
    </w:p>
    <w:p w:rsidR="00491272" w:rsidRPr="00491272" w:rsidRDefault="00491272" w:rsidP="00491272">
      <w:pPr>
        <w:pStyle w:val="ListParagraph"/>
        <w:numPr>
          <w:ilvl w:val="0"/>
          <w:numId w:val="2"/>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Calculating Economic Value Added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East </w:t>
      </w:r>
      <w:proofErr w:type="spellStart"/>
      <w:r w:rsidRPr="00491272">
        <w:rPr>
          <w:rFonts w:ascii="Verdana" w:eastAsia="Times New Roman" w:hAnsi="Verdana" w:cs="Times New Roman"/>
          <w:color w:val="333333"/>
          <w:sz w:val="18"/>
          <w:szCs w:val="18"/>
        </w:rPr>
        <w:t>Mullett</w:t>
      </w:r>
      <w:proofErr w:type="spellEnd"/>
      <w:r w:rsidRPr="00491272">
        <w:rPr>
          <w:rFonts w:ascii="Verdana" w:eastAsia="Times New Roman" w:hAnsi="Verdana" w:cs="Times New Roman"/>
          <w:color w:val="333333"/>
          <w:sz w:val="18"/>
          <w:szCs w:val="18"/>
        </w:rPr>
        <w:t xml:space="preserve"> Manufacturing earned operating income last year as shown in the following income statement:</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400"/>
        <w:gridCol w:w="957"/>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Sales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$630,000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Cost of goods sold</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380,000</w:t>
            </w:r>
          </w:p>
        </w:tc>
      </w:tr>
      <w:tr w:rsidR="00491272" w:rsidRPr="00491272" w:rsidTr="00491272">
        <w:trPr>
          <w:tblCellSpacing w:w="0" w:type="dxa"/>
        </w:trPr>
        <w:tc>
          <w:tcPr>
            <w:tcW w:w="5400" w:type="dxa"/>
            <w:shd w:val="clear" w:color="auto" w:fill="FFFFFF"/>
            <w:noWrap/>
            <w:tcMar>
              <w:top w:w="45" w:type="dxa"/>
              <w:left w:w="300" w:type="dxa"/>
              <w:bottom w:w="45" w:type="dxa"/>
              <w:right w:w="45" w:type="dxa"/>
            </w:tcMar>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Gross margin</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$250,000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Selling and administrative expense</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174,400</w:t>
            </w:r>
          </w:p>
        </w:tc>
      </w:tr>
      <w:tr w:rsidR="00491272" w:rsidRPr="00491272" w:rsidTr="00491272">
        <w:trPr>
          <w:tblCellSpacing w:w="0" w:type="dxa"/>
        </w:trPr>
        <w:tc>
          <w:tcPr>
            <w:tcW w:w="5400" w:type="dxa"/>
            <w:shd w:val="clear" w:color="auto" w:fill="FFFFFF"/>
            <w:noWrap/>
            <w:tcMar>
              <w:top w:w="45" w:type="dxa"/>
              <w:left w:w="300" w:type="dxa"/>
              <w:bottom w:w="45" w:type="dxa"/>
              <w:right w:w="45" w:type="dxa"/>
            </w:tcMar>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Operating income</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$ 75,600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Less: Income taxes (@ 40%)</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30,240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Net income</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$ 45,360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Total capital employed equaled $381,000. East </w:t>
      </w:r>
      <w:proofErr w:type="spellStart"/>
      <w:r w:rsidRPr="00491272">
        <w:rPr>
          <w:rFonts w:ascii="Verdana" w:eastAsia="Times New Roman" w:hAnsi="Verdana" w:cs="Times New Roman"/>
          <w:color w:val="333333"/>
          <w:sz w:val="18"/>
          <w:szCs w:val="18"/>
        </w:rPr>
        <w:t>Mullett's</w:t>
      </w:r>
      <w:proofErr w:type="spellEnd"/>
      <w:r w:rsidRPr="00491272">
        <w:rPr>
          <w:rFonts w:ascii="Verdana" w:eastAsia="Times New Roman" w:hAnsi="Verdana" w:cs="Times New Roman"/>
          <w:color w:val="333333"/>
          <w:sz w:val="18"/>
          <w:szCs w:val="18"/>
        </w:rPr>
        <w:t xml:space="preserve"> actual cost of capital is 8 percent.</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 xml:space="preserve">Calculate the EVA for East </w:t>
      </w:r>
      <w:proofErr w:type="spellStart"/>
      <w:r w:rsidRPr="00491272">
        <w:rPr>
          <w:rFonts w:ascii="Verdana" w:eastAsia="Times New Roman" w:hAnsi="Verdana" w:cs="Times New Roman"/>
          <w:color w:val="333333"/>
          <w:sz w:val="18"/>
          <w:szCs w:val="18"/>
        </w:rPr>
        <w:t>Mullett</w:t>
      </w:r>
      <w:proofErr w:type="spellEnd"/>
      <w:r w:rsidRPr="00491272">
        <w:rPr>
          <w:rFonts w:ascii="Verdana" w:eastAsia="Times New Roman" w:hAnsi="Verdana" w:cs="Times New Roman"/>
          <w:color w:val="333333"/>
          <w:sz w:val="18"/>
          <w:szCs w:val="18"/>
        </w:rPr>
        <w:t xml:space="preserve"> Manufacturing. If required,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 to nearest whole number.</w:t>
      </w:r>
      <w:r w:rsidRPr="00491272">
        <w:rPr>
          <w:rFonts w:ascii="Verdana" w:eastAsia="Times New Roman" w:hAnsi="Verdana" w:cs="Times New Roman"/>
          <w:color w:val="333333"/>
          <w:sz w:val="18"/>
          <w:szCs w:val="18"/>
        </w:rPr>
        <w:br/>
        <w:t>$</w:t>
      </w:r>
      <w:r w:rsidRPr="00491272">
        <w:rPr>
          <w:rFonts w:ascii="Verdana" w:eastAsia="Times New Roman" w:hAnsi="Verdana" w:cs="Times New Roman"/>
          <w:color w:val="333333"/>
          <w:sz w:val="18"/>
          <w:szCs w:val="18"/>
        </w:rPr>
        <w:object w:dxaOrig="1440" w:dyaOrig="1440">
          <v:shape id="_x0000_i1073" type="#_x0000_t75" style="width:1in;height:18.6pt" o:ole="">
            <v:imagedata r:id="rId5" o:title=""/>
          </v:shape>
          <w:control r:id="rId12" w:name="DefaultOcxName5" w:shapeid="_x0000_i1073"/>
        </w:object>
      </w:r>
    </w:p>
    <w:p w:rsidR="00491272" w:rsidRDefault="00491272" w:rsidP="00491272">
      <w:pPr>
        <w:pStyle w:val="ListParagraph"/>
      </w:pPr>
    </w:p>
    <w:p w:rsidR="00491272" w:rsidRPr="00491272" w:rsidRDefault="00491272" w:rsidP="00491272">
      <w:pPr>
        <w:pStyle w:val="ListParagraph"/>
        <w:numPr>
          <w:ilvl w:val="0"/>
          <w:numId w:val="2"/>
        </w:numPr>
        <w:spacing w:after="100" w:afterAutospacing="1" w:line="360" w:lineRule="atLeast"/>
        <w:ind w:left="0" w:firstLine="0"/>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Calculating Transfer Price</w: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Trimble Crane, Inc. has a number of divisions, including the Palm Division, a producer of hydraulic pumps, and Acer Division, a manufacturer of motors.</w: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Palm Division produces the </w:t>
      </w:r>
      <w:proofErr w:type="spellStart"/>
      <w:r w:rsidRPr="00491272">
        <w:rPr>
          <w:rFonts w:ascii="Verdana" w:eastAsia="Times New Roman" w:hAnsi="Verdana" w:cs="Times New Roman"/>
          <w:color w:val="333333"/>
          <w:sz w:val="18"/>
          <w:szCs w:val="18"/>
        </w:rPr>
        <w:t>h20</w:t>
      </w:r>
      <w:proofErr w:type="spellEnd"/>
      <w:r w:rsidRPr="00491272">
        <w:rPr>
          <w:rFonts w:ascii="Verdana" w:eastAsia="Times New Roman" w:hAnsi="Verdana" w:cs="Times New Roman"/>
          <w:color w:val="333333"/>
          <w:sz w:val="18"/>
          <w:szCs w:val="18"/>
        </w:rPr>
        <w:t xml:space="preserve">-model pump that can be used by Acer Division in the production of motors that regulate the raising and lowering of the </w:t>
      </w:r>
      <w:proofErr w:type="spellStart"/>
      <w:r w:rsidRPr="00491272">
        <w:rPr>
          <w:rFonts w:ascii="Verdana" w:eastAsia="Times New Roman" w:hAnsi="Verdana" w:cs="Times New Roman"/>
          <w:color w:val="333333"/>
          <w:sz w:val="18"/>
          <w:szCs w:val="18"/>
        </w:rPr>
        <w:t>motors's</w:t>
      </w:r>
      <w:proofErr w:type="spellEnd"/>
      <w:r w:rsidRPr="00491272">
        <w:rPr>
          <w:rFonts w:ascii="Verdana" w:eastAsia="Times New Roman" w:hAnsi="Verdana" w:cs="Times New Roman"/>
          <w:color w:val="333333"/>
          <w:sz w:val="18"/>
          <w:szCs w:val="18"/>
        </w:rPr>
        <w:t xml:space="preserve"> crane derrick. The market price of the </w:t>
      </w:r>
      <w:proofErr w:type="spellStart"/>
      <w:r w:rsidRPr="00491272">
        <w:rPr>
          <w:rFonts w:ascii="Verdana" w:eastAsia="Times New Roman" w:hAnsi="Verdana" w:cs="Times New Roman"/>
          <w:color w:val="333333"/>
          <w:sz w:val="18"/>
          <w:szCs w:val="18"/>
        </w:rPr>
        <w:t>h20</w:t>
      </w:r>
      <w:proofErr w:type="spellEnd"/>
      <w:r w:rsidRPr="00491272">
        <w:rPr>
          <w:rFonts w:ascii="Verdana" w:eastAsia="Times New Roman" w:hAnsi="Verdana" w:cs="Times New Roman"/>
          <w:color w:val="333333"/>
          <w:sz w:val="18"/>
          <w:szCs w:val="18"/>
        </w:rPr>
        <w:t xml:space="preserve">-model is $684, and the full cost of the </w:t>
      </w:r>
      <w:proofErr w:type="spellStart"/>
      <w:r w:rsidRPr="00491272">
        <w:rPr>
          <w:rFonts w:ascii="Verdana" w:eastAsia="Times New Roman" w:hAnsi="Verdana" w:cs="Times New Roman"/>
          <w:color w:val="333333"/>
          <w:sz w:val="18"/>
          <w:szCs w:val="18"/>
        </w:rPr>
        <w:t>h20</w:t>
      </w:r>
      <w:proofErr w:type="spellEnd"/>
      <w:r w:rsidRPr="00491272">
        <w:rPr>
          <w:rFonts w:ascii="Verdana" w:eastAsia="Times New Roman" w:hAnsi="Verdana" w:cs="Times New Roman"/>
          <w:color w:val="333333"/>
          <w:sz w:val="18"/>
          <w:szCs w:val="18"/>
        </w:rPr>
        <w:t>-model is $540.</w: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If Trimble Crane, Inc. has a transfer pricing policy that requires transfer at full cost:</w: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What will the transfer price be?</w:t>
      </w:r>
      <w:r w:rsidRPr="00491272">
        <w:rPr>
          <w:rFonts w:ascii="Verdana" w:eastAsia="Times New Roman" w:hAnsi="Verdana" w:cs="Times New Roman"/>
          <w:color w:val="333333"/>
          <w:sz w:val="18"/>
          <w:szCs w:val="18"/>
        </w:rPr>
        <w:br/>
        <w:t>$</w:t>
      </w:r>
      <w:r w:rsidRPr="00491272">
        <w:rPr>
          <w:rFonts w:ascii="Verdana" w:eastAsia="Times New Roman" w:hAnsi="Verdana" w:cs="Times New Roman"/>
          <w:color w:val="333333"/>
          <w:sz w:val="18"/>
          <w:szCs w:val="18"/>
        </w:rPr>
        <w:object w:dxaOrig="1440" w:dyaOrig="1440">
          <v:shape id="_x0000_i1085" type="#_x0000_t75" style="width:1in;height:18.6pt" o:ole="">
            <v:imagedata r:id="rId5" o:title=""/>
          </v:shape>
          <w:control r:id="rId13" w:name="DefaultOcxName6" w:shapeid="_x0000_i1085"/>
        </w:objec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Do you suppose that Palm Division and Acer Division will choose to transfer at that price?</w:t>
      </w:r>
    </w:p>
    <w:tbl>
      <w:tblPr>
        <w:tblW w:w="4500" w:type="dxa"/>
        <w:tblCellSpacing w:w="0" w:type="dxa"/>
        <w:tblCellMar>
          <w:top w:w="45" w:type="dxa"/>
          <w:left w:w="45" w:type="dxa"/>
          <w:bottom w:w="45" w:type="dxa"/>
          <w:right w:w="45" w:type="dxa"/>
        </w:tblCellMar>
        <w:tblLook w:val="04A0" w:firstRow="1" w:lastRow="0" w:firstColumn="1" w:lastColumn="0" w:noHBand="0" w:noVBand="1"/>
      </w:tblPr>
      <w:tblGrid>
        <w:gridCol w:w="1061"/>
        <w:gridCol w:w="3439"/>
      </w:tblGrid>
      <w:tr w:rsidR="00491272" w:rsidRPr="00491272" w:rsidTr="00491272">
        <w:trPr>
          <w:tblCellSpacing w:w="0" w:type="dxa"/>
        </w:trPr>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Acer Division</w:t>
            </w:r>
          </w:p>
        </w:tc>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CHOOSES TO TRANSFER OR REFUSES TO TRANSFER?</w:t>
            </w:r>
          </w:p>
        </w:tc>
      </w:tr>
      <w:tr w:rsidR="00491272" w:rsidRPr="00491272" w:rsidTr="00491272">
        <w:trPr>
          <w:tblCellSpacing w:w="0" w:type="dxa"/>
        </w:trPr>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Palm Division</w:t>
            </w:r>
          </w:p>
        </w:tc>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CHOOSES TO TRANSFER OR REFUSES TO TRANSFER?</w:t>
            </w:r>
          </w:p>
        </w:tc>
      </w:tr>
    </w:tbl>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If Trimble Crane, Inc. has a transfer pricing policy that requires transfer at market price:</w: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What would the transfer price be?</w:t>
      </w:r>
      <w:r w:rsidRPr="00491272">
        <w:rPr>
          <w:rFonts w:ascii="Verdana" w:eastAsia="Times New Roman" w:hAnsi="Verdana" w:cs="Times New Roman"/>
          <w:color w:val="333333"/>
          <w:sz w:val="18"/>
          <w:szCs w:val="18"/>
        </w:rPr>
        <w:br/>
        <w:t>$</w:t>
      </w:r>
      <w:r w:rsidRPr="00491272">
        <w:rPr>
          <w:rFonts w:ascii="Verdana" w:eastAsia="Times New Roman" w:hAnsi="Verdana" w:cs="Times New Roman"/>
          <w:color w:val="333333"/>
          <w:sz w:val="18"/>
          <w:szCs w:val="18"/>
        </w:rPr>
        <w:object w:dxaOrig="1440" w:dyaOrig="1440">
          <v:shape id="_x0000_i1084" type="#_x0000_t75" style="width:1in;height:18.6pt" o:ole="">
            <v:imagedata r:id="rId5" o:title=""/>
          </v:shape>
          <w:control r:id="rId14" w:name="DefaultOcxName12" w:shapeid="_x0000_i1084"/>
        </w:object>
      </w:r>
    </w:p>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Do you suppose that Palm Division and Acer Division would choose to transfer at that price?</w:t>
      </w:r>
    </w:p>
    <w:tbl>
      <w:tblPr>
        <w:tblW w:w="4500" w:type="dxa"/>
        <w:tblCellSpacing w:w="0" w:type="dxa"/>
        <w:tblCellMar>
          <w:top w:w="45" w:type="dxa"/>
          <w:left w:w="45" w:type="dxa"/>
          <w:bottom w:w="45" w:type="dxa"/>
          <w:right w:w="45" w:type="dxa"/>
        </w:tblCellMar>
        <w:tblLook w:val="04A0" w:firstRow="1" w:lastRow="0" w:firstColumn="1" w:lastColumn="0" w:noHBand="0" w:noVBand="1"/>
      </w:tblPr>
      <w:tblGrid>
        <w:gridCol w:w="1058"/>
        <w:gridCol w:w="3442"/>
      </w:tblGrid>
      <w:tr w:rsidR="00491272" w:rsidRPr="00491272" w:rsidTr="00491272">
        <w:trPr>
          <w:tblCellSpacing w:w="0" w:type="dxa"/>
        </w:trPr>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Acer Division</w:t>
            </w:r>
          </w:p>
        </w:tc>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Pr>
                <w:rFonts w:ascii="Verdana" w:eastAsia="Times New Roman" w:hAnsi="Verdana" w:cs="Times New Roman"/>
                <w:b/>
                <w:bCs/>
                <w:color w:val="5393C5"/>
                <w:sz w:val="18"/>
                <w:szCs w:val="18"/>
              </w:rPr>
              <w:t xml:space="preserve">CHOOSES TO TRANSFER OR REFUSES TO </w:t>
            </w:r>
            <w:proofErr w:type="gramStart"/>
            <w:r>
              <w:rPr>
                <w:rFonts w:ascii="Verdana" w:eastAsia="Times New Roman" w:hAnsi="Verdana" w:cs="Times New Roman"/>
                <w:b/>
                <w:bCs/>
                <w:color w:val="5393C5"/>
                <w:sz w:val="18"/>
                <w:szCs w:val="18"/>
              </w:rPr>
              <w:t>TRANSFER</w:t>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w:t>
            </w:r>
            <w:proofErr w:type="gramEnd"/>
          </w:p>
        </w:tc>
      </w:tr>
      <w:tr w:rsidR="00491272" w:rsidRPr="00491272" w:rsidTr="00491272">
        <w:trPr>
          <w:tblCellSpacing w:w="0" w:type="dxa"/>
        </w:trPr>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Palm Division</w:t>
            </w:r>
          </w:p>
        </w:tc>
        <w:tc>
          <w:tcPr>
            <w:tcW w:w="0" w:type="auto"/>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CHOOSES TO TRANSFER OR REFUSES TO TRANSFER?</w:t>
            </w:r>
          </w:p>
        </w:tc>
      </w:tr>
    </w:tbl>
    <w:p w:rsidR="00491272" w:rsidRPr="00491272" w:rsidRDefault="00491272" w:rsidP="00491272">
      <w:pPr>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3.  </w:t>
      </w:r>
      <w:r w:rsidRPr="00491272">
        <w:rPr>
          <w:rFonts w:ascii="Verdana" w:eastAsia="Times New Roman" w:hAnsi="Verdana" w:cs="Times New Roman"/>
          <w:color w:val="333333"/>
          <w:sz w:val="18"/>
          <w:szCs w:val="18"/>
        </w:rPr>
        <w:t>Now suppose that Trimble Crane, Inc. allows negotiated transfer pricing and that Palm Division can avoid $120 of selling expense by selling to Acer Division.</w: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Which division sets the minimum transfer price?</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 xml:space="preserve">PALM DIVISION OR ACER DIVISION? </w: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What is the minimum transfer price?</w:t>
      </w:r>
      <w:r w:rsidRPr="00491272">
        <w:rPr>
          <w:rFonts w:ascii="Verdana" w:eastAsia="Times New Roman" w:hAnsi="Verdana" w:cs="Times New Roman"/>
          <w:color w:val="333333"/>
          <w:sz w:val="18"/>
          <w:szCs w:val="18"/>
        </w:rPr>
        <w:br/>
        <w:t>$</w:t>
      </w:r>
      <w:r w:rsidRPr="00491272">
        <w:rPr>
          <w:rFonts w:ascii="Verdana" w:eastAsia="Times New Roman" w:hAnsi="Verdana" w:cs="Times New Roman"/>
          <w:color w:val="333333"/>
          <w:sz w:val="18"/>
          <w:szCs w:val="18"/>
        </w:rPr>
        <w:object w:dxaOrig="1440" w:dyaOrig="1440">
          <v:shape id="_x0000_i1083" type="#_x0000_t75" style="width:1in;height:18.6pt" o:ole="">
            <v:imagedata r:id="rId5" o:title=""/>
          </v:shape>
          <w:control r:id="rId15" w:name="DefaultOcxName21" w:shapeid="_x0000_i1083"/>
        </w:objec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Which division sets the maximum transfer price?</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PALM DIVISION OR ACER DIVISION?</w:t>
      </w:r>
    </w:p>
    <w:p w:rsidR="00491272" w:rsidRPr="00491272" w:rsidRDefault="00491272" w:rsidP="00491272">
      <w:pPr>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What is the maximum transfer price?</w:t>
      </w:r>
      <w:r w:rsidRPr="00491272">
        <w:rPr>
          <w:rFonts w:ascii="Verdana" w:eastAsia="Times New Roman" w:hAnsi="Verdana" w:cs="Times New Roman"/>
          <w:color w:val="333333"/>
          <w:sz w:val="18"/>
          <w:szCs w:val="18"/>
        </w:rPr>
        <w:br/>
        <w:t>$</w:t>
      </w:r>
      <w:r w:rsidRPr="00491272">
        <w:rPr>
          <w:rFonts w:ascii="Verdana" w:eastAsia="Times New Roman" w:hAnsi="Verdana" w:cs="Times New Roman"/>
          <w:color w:val="333333"/>
          <w:sz w:val="18"/>
          <w:szCs w:val="18"/>
        </w:rPr>
        <w:object w:dxaOrig="1440" w:dyaOrig="1440">
          <v:shape id="_x0000_i1082" type="#_x0000_t75" style="width:1in;height:18.6pt" o:ole="">
            <v:imagedata r:id="rId5" o:title=""/>
          </v:shape>
          <w:control r:id="rId16" w:name="DefaultOcxName31" w:shapeid="_x0000_i1082"/>
        </w:object>
      </w:r>
    </w:p>
    <w:p w:rsidR="00491272" w:rsidRPr="00491272" w:rsidRDefault="00491272" w:rsidP="00491272">
      <w:pPr>
        <w:spacing w:beforeAutospacing="1" w:after="0" w:afterAutospacing="1" w:line="360" w:lineRule="atLeast"/>
        <w:rPr>
          <w:rFonts w:ascii="Arial" w:eastAsia="Times New Roman" w:hAnsi="Arial" w:cs="Arial"/>
          <w:color w:val="000000"/>
          <w:sz w:val="18"/>
          <w:szCs w:val="18"/>
        </w:rPr>
      </w:pPr>
      <w:r w:rsidRPr="00491272">
        <w:rPr>
          <w:rFonts w:ascii="Verdana" w:eastAsia="Times New Roman" w:hAnsi="Verdana" w:cs="Times New Roman"/>
          <w:color w:val="333333"/>
          <w:sz w:val="18"/>
          <w:szCs w:val="18"/>
        </w:rPr>
        <w:t>Do you suppose that Palm Division and Acer Division would choose to transfer somewhere in the bargaining range?</w:t>
      </w:r>
      <w:r w:rsidRPr="00491272">
        <w:rPr>
          <w:rFonts w:ascii="Verdana" w:eastAsia="Times New Roman" w:hAnsi="Verdana" w:cs="Times New Roman"/>
          <w:color w:val="333333"/>
          <w:sz w:val="18"/>
          <w:szCs w:val="18"/>
        </w:rPr>
        <w:br/>
      </w:r>
      <w:r>
        <w:rPr>
          <w:rFonts w:ascii="Verdana" w:eastAsia="Times New Roman" w:hAnsi="Verdana" w:cs="Times New Roman"/>
          <w:b/>
          <w:bCs/>
          <w:color w:val="5393C5"/>
          <w:sz w:val="18"/>
          <w:szCs w:val="18"/>
        </w:rPr>
        <w:t>YES OR NO?</w:t>
      </w:r>
    </w:p>
    <w:p w:rsidR="00491272" w:rsidRPr="00491272" w:rsidRDefault="00491272" w:rsidP="00491272">
      <w:pPr>
        <w:pStyle w:val="ListParagraph"/>
        <w:numPr>
          <w:ilvl w:val="0"/>
          <w:numId w:val="2"/>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Calculating Cycle Time and Velocity</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proofErr w:type="spellStart"/>
      <w:r w:rsidRPr="00491272">
        <w:rPr>
          <w:rFonts w:ascii="Verdana" w:eastAsia="Times New Roman" w:hAnsi="Verdana" w:cs="Times New Roman"/>
          <w:color w:val="333333"/>
          <w:sz w:val="18"/>
          <w:szCs w:val="18"/>
        </w:rPr>
        <w:t>Delko</w:t>
      </w:r>
      <w:proofErr w:type="spellEnd"/>
      <w:r w:rsidRPr="00491272">
        <w:rPr>
          <w:rFonts w:ascii="Verdana" w:eastAsia="Times New Roman" w:hAnsi="Verdana" w:cs="Times New Roman"/>
          <w:color w:val="333333"/>
          <w:sz w:val="18"/>
          <w:szCs w:val="18"/>
        </w:rPr>
        <w:t xml:space="preserve"> Company has the following data for one of its manufacturing plants:</w:t>
      </w:r>
    </w:p>
    <w:p w:rsidR="00491272" w:rsidRPr="00491272" w:rsidRDefault="00491272" w:rsidP="00491272">
      <w:pPr>
        <w:numPr>
          <w:ilvl w:val="0"/>
          <w:numId w:val="4"/>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Maximum units produced in a quarter (3-month period): 250,000 units</w:t>
      </w:r>
    </w:p>
    <w:p w:rsidR="00491272" w:rsidRPr="00491272" w:rsidRDefault="00491272" w:rsidP="00491272">
      <w:pPr>
        <w:numPr>
          <w:ilvl w:val="0"/>
          <w:numId w:val="4"/>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Actual units produced in a quarter (3-month period): 203,000 units</w:t>
      </w:r>
    </w:p>
    <w:p w:rsidR="00491272" w:rsidRPr="00491272" w:rsidRDefault="00491272" w:rsidP="00491272">
      <w:pPr>
        <w:numPr>
          <w:ilvl w:val="0"/>
          <w:numId w:val="4"/>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Productive hours in one quarter: 25,000 hours</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Compute the theoretical cycle time (in minutes).</w:t>
      </w:r>
      <w:r w:rsidRPr="00491272">
        <w:rPr>
          <w:rFonts w:ascii="Verdana" w:eastAsia="Times New Roman" w:hAnsi="Verdana" w:cs="Times New Roman"/>
          <w:color w:val="333333"/>
          <w:sz w:val="18"/>
          <w:szCs w:val="18"/>
        </w:rPr>
        <w:br/>
      </w:r>
      <w:r w:rsidRPr="00491272">
        <w:rPr>
          <w:rFonts w:ascii="Verdana" w:eastAsia="Times New Roman" w:hAnsi="Verdana" w:cs="Times New Roman"/>
          <w:color w:val="333333"/>
          <w:sz w:val="18"/>
          <w:szCs w:val="18"/>
        </w:rPr>
        <w:object w:dxaOrig="1440" w:dyaOrig="1440">
          <v:shape id="_x0000_i1101" type="#_x0000_t75" style="width:1in;height:18.6pt" o:ole="">
            <v:imagedata r:id="rId5" o:title=""/>
          </v:shape>
          <w:control r:id="rId17" w:name="DefaultOcxName7" w:shapeid="_x0000_i1101"/>
        </w:object>
      </w:r>
      <w:r w:rsidRPr="00491272">
        <w:rPr>
          <w:rFonts w:ascii="Verdana" w:eastAsia="Times New Roman" w:hAnsi="Verdana" w:cs="Times New Roman"/>
          <w:color w:val="333333"/>
          <w:sz w:val="18"/>
          <w:szCs w:val="18"/>
        </w:rPr>
        <w:t> minutes per unit</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 xml:space="preserve">Compute the actual cycle time (in minutes).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 to two decimal places.</w:t>
      </w:r>
      <w:r w:rsidRPr="00491272">
        <w:rPr>
          <w:rFonts w:ascii="Verdana" w:eastAsia="Times New Roman" w:hAnsi="Verdana" w:cs="Times New Roman"/>
          <w:color w:val="333333"/>
          <w:sz w:val="18"/>
          <w:szCs w:val="18"/>
        </w:rPr>
        <w:br/>
      </w:r>
      <w:r w:rsidRPr="00491272">
        <w:rPr>
          <w:rFonts w:ascii="Verdana" w:eastAsia="Times New Roman" w:hAnsi="Verdana" w:cs="Times New Roman"/>
          <w:color w:val="333333"/>
          <w:sz w:val="18"/>
          <w:szCs w:val="18"/>
        </w:rPr>
        <w:object w:dxaOrig="1440" w:dyaOrig="1440">
          <v:shape id="_x0000_i1100" type="#_x0000_t75" style="width:1in;height:18.6pt" o:ole="">
            <v:imagedata r:id="rId5" o:title=""/>
          </v:shape>
          <w:control r:id="rId18" w:name="DefaultOcxName13" w:shapeid="_x0000_i1100"/>
        </w:object>
      </w:r>
      <w:r w:rsidRPr="00491272">
        <w:rPr>
          <w:rFonts w:ascii="Verdana" w:eastAsia="Times New Roman" w:hAnsi="Verdana" w:cs="Times New Roman"/>
          <w:color w:val="333333"/>
          <w:sz w:val="18"/>
          <w:szCs w:val="18"/>
        </w:rPr>
        <w:t> minutes per unit</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lastRenderedPageBreak/>
        <w:t>3.  </w:t>
      </w:r>
      <w:r w:rsidRPr="00491272">
        <w:rPr>
          <w:rFonts w:ascii="Verdana" w:eastAsia="Times New Roman" w:hAnsi="Verdana" w:cs="Times New Roman"/>
          <w:color w:val="333333"/>
          <w:sz w:val="18"/>
          <w:szCs w:val="18"/>
        </w:rPr>
        <w:t>Compute the theoretical velocity in units per hour.</w:t>
      </w:r>
      <w:r w:rsidRPr="00491272">
        <w:rPr>
          <w:rFonts w:ascii="Verdana" w:eastAsia="Times New Roman" w:hAnsi="Verdana" w:cs="Times New Roman"/>
          <w:color w:val="333333"/>
          <w:sz w:val="18"/>
          <w:szCs w:val="18"/>
        </w:rPr>
        <w:br/>
      </w:r>
      <w:r w:rsidRPr="00491272">
        <w:rPr>
          <w:rFonts w:ascii="Verdana" w:eastAsia="Times New Roman" w:hAnsi="Verdana" w:cs="Times New Roman"/>
          <w:color w:val="333333"/>
          <w:sz w:val="18"/>
          <w:szCs w:val="18"/>
        </w:rPr>
        <w:object w:dxaOrig="1440" w:dyaOrig="1440">
          <v:shape id="_x0000_i1099" type="#_x0000_t75" style="width:1in;height:18.6pt" o:ole="">
            <v:imagedata r:id="rId5" o:title=""/>
          </v:shape>
          <w:control r:id="rId19" w:name="DefaultOcxName22" w:shapeid="_x0000_i1099"/>
        </w:object>
      </w:r>
      <w:r w:rsidRPr="00491272">
        <w:rPr>
          <w:rFonts w:ascii="Verdana" w:eastAsia="Times New Roman" w:hAnsi="Verdana" w:cs="Times New Roman"/>
          <w:color w:val="333333"/>
          <w:sz w:val="18"/>
          <w:szCs w:val="18"/>
        </w:rPr>
        <w:t> units per hour</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4.  </w:t>
      </w:r>
      <w:r w:rsidRPr="00491272">
        <w:rPr>
          <w:rFonts w:ascii="Verdana" w:eastAsia="Times New Roman" w:hAnsi="Verdana" w:cs="Times New Roman"/>
          <w:color w:val="333333"/>
          <w:sz w:val="18"/>
          <w:szCs w:val="18"/>
        </w:rPr>
        <w:t xml:space="preserve">Compute the actual velocity in units per hour.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 to two decimal places.</w:t>
      </w:r>
      <w:r w:rsidRPr="00491272">
        <w:rPr>
          <w:rFonts w:ascii="Verdana" w:eastAsia="Times New Roman" w:hAnsi="Verdana" w:cs="Times New Roman"/>
          <w:color w:val="333333"/>
          <w:sz w:val="18"/>
          <w:szCs w:val="18"/>
        </w:rPr>
        <w:br/>
      </w:r>
      <w:r w:rsidRPr="00491272">
        <w:rPr>
          <w:rFonts w:ascii="Verdana" w:eastAsia="Times New Roman" w:hAnsi="Verdana" w:cs="Times New Roman"/>
          <w:color w:val="333333"/>
          <w:sz w:val="18"/>
          <w:szCs w:val="18"/>
        </w:rPr>
        <w:object w:dxaOrig="1440" w:dyaOrig="1440">
          <v:shape id="_x0000_i1098" type="#_x0000_t75" style="width:1in;height:18.6pt" o:ole="">
            <v:imagedata r:id="rId5" o:title=""/>
          </v:shape>
          <w:control r:id="rId20" w:name="DefaultOcxName32" w:shapeid="_x0000_i1098"/>
        </w:object>
      </w:r>
      <w:r w:rsidRPr="00491272">
        <w:rPr>
          <w:rFonts w:ascii="Verdana" w:eastAsia="Times New Roman" w:hAnsi="Verdana" w:cs="Times New Roman"/>
          <w:color w:val="333333"/>
          <w:sz w:val="18"/>
          <w:szCs w:val="18"/>
        </w:rPr>
        <w:t> units per hour</w:t>
      </w:r>
    </w:p>
    <w:p w:rsidR="00491272" w:rsidRDefault="00491272" w:rsidP="00491272">
      <w:pPr>
        <w:pStyle w:val="ListParagraph"/>
        <w:ind w:left="-90"/>
      </w:pPr>
    </w:p>
    <w:p w:rsidR="00491272" w:rsidRPr="00491272" w:rsidRDefault="00491272" w:rsidP="00491272">
      <w:pPr>
        <w:pStyle w:val="ListParagraph"/>
        <w:numPr>
          <w:ilvl w:val="0"/>
          <w:numId w:val="2"/>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Calculating Manufacturing Cycle Efficiency</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proofErr w:type="spellStart"/>
      <w:r w:rsidRPr="00491272">
        <w:rPr>
          <w:rFonts w:ascii="Verdana" w:eastAsia="Times New Roman" w:hAnsi="Verdana" w:cs="Times New Roman"/>
          <w:color w:val="333333"/>
          <w:sz w:val="18"/>
          <w:szCs w:val="18"/>
        </w:rPr>
        <w:t>Delko</w:t>
      </w:r>
      <w:proofErr w:type="spellEnd"/>
      <w:r w:rsidRPr="00491272">
        <w:rPr>
          <w:rFonts w:ascii="Verdana" w:eastAsia="Times New Roman" w:hAnsi="Verdana" w:cs="Times New Roman"/>
          <w:color w:val="333333"/>
          <w:sz w:val="18"/>
          <w:szCs w:val="18"/>
        </w:rPr>
        <w:t xml:space="preserve"> Company has the following data for one of its manufacturing plants:</w:t>
      </w:r>
    </w:p>
    <w:p w:rsidR="00491272" w:rsidRPr="00491272" w:rsidRDefault="00491272" w:rsidP="00491272">
      <w:pPr>
        <w:numPr>
          <w:ilvl w:val="0"/>
          <w:numId w:val="5"/>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Maximum units produced in a quarter (3-month period): 250,000 units</w:t>
      </w:r>
    </w:p>
    <w:p w:rsidR="00491272" w:rsidRPr="00491272" w:rsidRDefault="00491272" w:rsidP="00491272">
      <w:pPr>
        <w:numPr>
          <w:ilvl w:val="0"/>
          <w:numId w:val="5"/>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Actual units produced in a quarter (3-month period): 193,000 units</w:t>
      </w:r>
    </w:p>
    <w:p w:rsidR="00491272" w:rsidRPr="00491272" w:rsidRDefault="00491272" w:rsidP="00491272">
      <w:pPr>
        <w:numPr>
          <w:ilvl w:val="0"/>
          <w:numId w:val="5"/>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Productive hours in one quarter: 25,000 hours</w:t>
      </w:r>
    </w:p>
    <w:p w:rsidR="00491272" w:rsidRPr="00491272" w:rsidRDefault="00491272" w:rsidP="00491272">
      <w:pPr>
        <w:numPr>
          <w:ilvl w:val="0"/>
          <w:numId w:val="5"/>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Actual cycle time: 7.77 minutes</w:t>
      </w:r>
    </w:p>
    <w:p w:rsidR="00491272" w:rsidRPr="00491272" w:rsidRDefault="00491272" w:rsidP="00491272">
      <w:pPr>
        <w:numPr>
          <w:ilvl w:val="0"/>
          <w:numId w:val="5"/>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Theoretical cycle time: 6 minutes</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 xml:space="preserve">Calculate the amount of processing time and the amount of </w:t>
      </w:r>
      <w:proofErr w:type="spellStart"/>
      <w:r w:rsidRPr="00491272">
        <w:rPr>
          <w:rFonts w:ascii="Verdana" w:eastAsia="Times New Roman" w:hAnsi="Verdana" w:cs="Times New Roman"/>
          <w:color w:val="333333"/>
          <w:sz w:val="18"/>
          <w:szCs w:val="18"/>
        </w:rPr>
        <w:t>nonprocessing</w:t>
      </w:r>
      <w:proofErr w:type="spellEnd"/>
      <w:r w:rsidRPr="00491272">
        <w:rPr>
          <w:rFonts w:ascii="Verdana" w:eastAsia="Times New Roman" w:hAnsi="Verdana" w:cs="Times New Roman"/>
          <w:color w:val="333333"/>
          <w:sz w:val="18"/>
          <w:szCs w:val="18"/>
        </w:rPr>
        <w:t xml:space="preserve"> time. If required,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answers to two decimal places.</w:t>
      </w:r>
    </w:p>
    <w:tbl>
      <w:tblPr>
        <w:tblW w:w="6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019"/>
        <w:gridCol w:w="3731"/>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Processing time</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object w:dxaOrig="1440" w:dyaOrig="1440">
                <v:shape id="_x0000_i1110" type="#_x0000_t75" style="width:1in;height:18.6pt" o:ole="">
                  <v:imagedata r:id="rId5" o:title=""/>
                </v:shape>
                <w:control r:id="rId21" w:name="DefaultOcxName8" w:shapeid="_x0000_i1110"/>
              </w:object>
            </w:r>
            <w:r w:rsidRPr="00491272">
              <w:rPr>
                <w:rFonts w:ascii="Verdana" w:eastAsia="Times New Roman" w:hAnsi="Verdana" w:cs="Times New Roman"/>
                <w:color w:val="333333"/>
                <w:sz w:val="18"/>
                <w:szCs w:val="18"/>
              </w:rPr>
              <w:t> minutes</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roofErr w:type="spellStart"/>
            <w:r w:rsidRPr="00491272">
              <w:rPr>
                <w:rFonts w:ascii="Verdana" w:eastAsia="Times New Roman" w:hAnsi="Verdana" w:cs="Times New Roman"/>
                <w:color w:val="333333"/>
                <w:sz w:val="18"/>
                <w:szCs w:val="18"/>
              </w:rPr>
              <w:t>Nonprocessing</w:t>
            </w:r>
            <w:proofErr w:type="spellEnd"/>
            <w:r w:rsidRPr="00491272">
              <w:rPr>
                <w:rFonts w:ascii="Verdana" w:eastAsia="Times New Roman" w:hAnsi="Verdana" w:cs="Times New Roman"/>
                <w:color w:val="333333"/>
                <w:sz w:val="18"/>
                <w:szCs w:val="18"/>
              </w:rPr>
              <w:t xml:space="preserve"> time</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object w:dxaOrig="1440" w:dyaOrig="1440">
                <v:shape id="_x0000_i1109" type="#_x0000_t75" style="width:1in;height:18.6pt" o:ole="">
                  <v:imagedata r:id="rId5" o:title=""/>
                </v:shape>
                <w:control r:id="rId22" w:name="DefaultOcxName14" w:shapeid="_x0000_i1109"/>
              </w:object>
            </w:r>
            <w:r w:rsidRPr="00491272">
              <w:rPr>
                <w:rFonts w:ascii="Verdana" w:eastAsia="Times New Roman" w:hAnsi="Verdana" w:cs="Times New Roman"/>
                <w:color w:val="333333"/>
                <w:sz w:val="18"/>
                <w:szCs w:val="18"/>
              </w:rPr>
              <w:t> minutes</w:t>
            </w:r>
          </w:p>
        </w:tc>
      </w:tr>
    </w:tbl>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 xml:space="preserve">Calculate the MCE. If required,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 to nearest whole number.</w:t>
      </w:r>
      <w:r w:rsidRPr="00491272">
        <w:rPr>
          <w:rFonts w:ascii="Verdana" w:eastAsia="Times New Roman" w:hAnsi="Verdana" w:cs="Times New Roman"/>
          <w:color w:val="333333"/>
          <w:sz w:val="18"/>
          <w:szCs w:val="18"/>
        </w:rPr>
        <w:br/>
      </w:r>
      <w:r w:rsidRPr="00491272">
        <w:rPr>
          <w:rFonts w:ascii="Verdana" w:eastAsia="Times New Roman" w:hAnsi="Verdana" w:cs="Times New Roman"/>
          <w:color w:val="333333"/>
          <w:sz w:val="18"/>
          <w:szCs w:val="18"/>
        </w:rPr>
        <w:object w:dxaOrig="1440" w:dyaOrig="1440">
          <v:shape id="_x0000_i1108" type="#_x0000_t75" style="width:1in;height:18.6pt" o:ole="">
            <v:imagedata r:id="rId5" o:title=""/>
          </v:shape>
          <w:control r:id="rId23" w:name="DefaultOcxName23" w:shapeid="_x0000_i1108"/>
        </w:object>
      </w:r>
      <w:r w:rsidRPr="00491272">
        <w:rPr>
          <w:rFonts w:ascii="Verdana" w:eastAsia="Times New Roman" w:hAnsi="Verdana" w:cs="Times New Roman"/>
          <w:color w:val="333333"/>
          <w:sz w:val="18"/>
          <w:szCs w:val="18"/>
        </w:rPr>
        <w:t> %</w:t>
      </w:r>
    </w:p>
    <w:p w:rsidR="00491272" w:rsidRDefault="00491272" w:rsidP="00491272">
      <w:pPr>
        <w:pStyle w:val="ListParagraph"/>
        <w:ind w:left="-90"/>
      </w:pPr>
    </w:p>
    <w:p w:rsidR="00491272" w:rsidRDefault="00491272" w:rsidP="00491272">
      <w:pPr>
        <w:pStyle w:val="ListParagraph"/>
        <w:ind w:left="-90"/>
      </w:pPr>
      <w:r>
        <w:t>CHAPTER 13</w:t>
      </w:r>
    </w:p>
    <w:p w:rsidR="00491272" w:rsidRDefault="00491272" w:rsidP="00491272">
      <w:pPr>
        <w:pStyle w:val="ListParagraph"/>
        <w:ind w:left="-90"/>
      </w:pPr>
    </w:p>
    <w:p w:rsidR="00491272" w:rsidRPr="00491272" w:rsidRDefault="00491272" w:rsidP="00491272">
      <w:pPr>
        <w:pStyle w:val="ListParagraph"/>
        <w:numPr>
          <w:ilvl w:val="0"/>
          <w:numId w:val="6"/>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Structuring a Make-or-Buy Problem</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Fresh Foods, a large restaurant chain, needed to determine if it would be cheaper to produce 5,000 units of its main food ingredient for use in its restaurants or to purchase them from an outside supplier for $12 each. Cost information on internal production includes the following:</w:t>
      </w:r>
    </w:p>
    <w:tbl>
      <w:tblPr>
        <w:tblW w:w="7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400"/>
        <w:gridCol w:w="1023"/>
        <w:gridCol w:w="154"/>
        <w:gridCol w:w="923"/>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Total Cost</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Unit Cost</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Direct materials</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$25,000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Direct labor</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15,000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Variable manufacturing overhead</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7,500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Variable marketing overhead</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11,500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2.30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Fixed plant overhead</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30,000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6.00</w:t>
            </w:r>
          </w:p>
        </w:tc>
      </w:tr>
      <w:tr w:rsidR="00491272" w:rsidRPr="00491272" w:rsidTr="00491272">
        <w:trPr>
          <w:tblCellSpacing w:w="0" w:type="dxa"/>
        </w:trPr>
        <w:tc>
          <w:tcPr>
            <w:tcW w:w="5400" w:type="dxa"/>
            <w:shd w:val="clear" w:color="auto" w:fill="FFFFFF"/>
            <w:noWrap/>
            <w:tcMar>
              <w:top w:w="45" w:type="dxa"/>
              <w:left w:w="300" w:type="dxa"/>
              <w:bottom w:w="45" w:type="dxa"/>
              <w:right w:w="45" w:type="dxa"/>
            </w:tcMar>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Total</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$89,000</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$17.80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xml:space="preserve">Fixed overhead will continue whether the ingredient is produced internally or externally. No additional costs of purchasing will be incurred beyond the purchase price. If required, </w:t>
      </w:r>
      <w:proofErr w:type="gramStart"/>
      <w:r w:rsidRPr="00491272">
        <w:rPr>
          <w:rFonts w:ascii="Verdana" w:eastAsia="Times New Roman" w:hAnsi="Verdana" w:cs="Times New Roman"/>
          <w:color w:val="333333"/>
          <w:sz w:val="18"/>
          <w:szCs w:val="18"/>
        </w:rPr>
        <w:t>round</w:t>
      </w:r>
      <w:proofErr w:type="gramEnd"/>
      <w:r w:rsidRPr="00491272">
        <w:rPr>
          <w:rFonts w:ascii="Verdana" w:eastAsia="Times New Roman" w:hAnsi="Verdana" w:cs="Times New Roman"/>
          <w:color w:val="333333"/>
          <w:sz w:val="18"/>
          <w:szCs w:val="18"/>
        </w:rPr>
        <w:t xml:space="preserve"> your answers to the nearest whole number.</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What are the alternatives for Fresh Foods?</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 xml:space="preserve">BUY THE INGREDIENT EXTERNALLY AND SELL IT IN HOUSE, MAKE THE INGREDIENT IN HOUSE AND SELL IT EXTERNALLY, OR MAKE THE INGREDIENT IN HOUSE OR BUY IT </w:t>
      </w:r>
      <w:proofErr w:type="spellStart"/>
      <w:r>
        <w:rPr>
          <w:rFonts w:ascii="Verdana" w:eastAsia="Times New Roman" w:hAnsi="Verdana" w:cs="Times New Roman"/>
          <w:b/>
          <w:bCs/>
          <w:color w:val="5393C5"/>
          <w:sz w:val="18"/>
          <w:szCs w:val="18"/>
        </w:rPr>
        <w:t>EXTENALLY</w:t>
      </w:r>
      <w:proofErr w:type="spellEnd"/>
      <w:r>
        <w:rPr>
          <w:rFonts w:ascii="Verdana" w:eastAsia="Times New Roman" w:hAnsi="Verdana" w:cs="Times New Roman"/>
          <w:b/>
          <w:bCs/>
          <w:color w:val="5393C5"/>
          <w:sz w:val="18"/>
          <w:szCs w:val="18"/>
        </w:rPr>
        <w:t>?</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Which alternative is more cost effective and by how much? (Use total cost when giving your answer.)</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266"/>
        <w:gridCol w:w="2234"/>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BUY OR MAKE?</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r w:rsidRPr="00491272">
              <w:rPr>
                <w:rFonts w:ascii="Verdana" w:eastAsia="Times New Roman" w:hAnsi="Verdana" w:cs="Times New Roman"/>
                <w:color w:val="333333"/>
                <w:sz w:val="18"/>
                <w:szCs w:val="18"/>
              </w:rPr>
              <w:object w:dxaOrig="1440" w:dyaOrig="1440">
                <v:shape id="_x0000_i1116" type="#_x0000_t75" style="width:1in;height:18.6pt" o:ole="">
                  <v:imagedata r:id="rId5" o:title=""/>
                </v:shape>
                <w:control r:id="rId24" w:name="DefaultOcxName9" w:shapeid="_x0000_i1116"/>
              </w:objec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3.  </w:t>
      </w:r>
      <w:r w:rsidRPr="00491272">
        <w:rPr>
          <w:rFonts w:ascii="Verdana" w:eastAsia="Times New Roman" w:hAnsi="Verdana" w:cs="Times New Roman"/>
          <w:color w:val="333333"/>
          <w:sz w:val="18"/>
          <w:szCs w:val="18"/>
        </w:rPr>
        <w:t>Now assume that 40% of the fixed overhead can be avoided if the ingredient is purchased externally. Which alternative is more cost effective and by how much? (Use total cost when giving your answer.)</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306"/>
        <w:gridCol w:w="2194"/>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BUY OR MAKE?</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w:t>
            </w:r>
            <w:r w:rsidRPr="00491272">
              <w:rPr>
                <w:rFonts w:ascii="Verdana" w:eastAsia="Times New Roman" w:hAnsi="Verdana" w:cs="Times New Roman"/>
                <w:color w:val="333333"/>
                <w:sz w:val="18"/>
                <w:szCs w:val="18"/>
              </w:rPr>
              <w:object w:dxaOrig="1440" w:dyaOrig="1440">
                <v:shape id="_x0000_i1115" type="#_x0000_t75" style="width:1in;height:18.6pt" o:ole="">
                  <v:imagedata r:id="rId5" o:title=""/>
                </v:shape>
                <w:control r:id="rId25" w:name="DefaultOcxName15" w:shapeid="_x0000_i1115"/>
              </w:object>
            </w:r>
          </w:p>
        </w:tc>
      </w:tr>
    </w:tbl>
    <w:p w:rsidR="00491272" w:rsidRDefault="00491272" w:rsidP="00491272">
      <w:pPr>
        <w:pStyle w:val="ListParagraph"/>
        <w:ind w:left="-90"/>
      </w:pPr>
    </w:p>
    <w:p w:rsidR="00491272" w:rsidRDefault="00491272" w:rsidP="00491272">
      <w:pPr>
        <w:pStyle w:val="ListParagraph"/>
        <w:ind w:left="-90"/>
      </w:pPr>
    </w:p>
    <w:p w:rsidR="00491272" w:rsidRPr="00491272" w:rsidRDefault="00491272" w:rsidP="00491272">
      <w:pPr>
        <w:pStyle w:val="ListParagraph"/>
        <w:numPr>
          <w:ilvl w:val="0"/>
          <w:numId w:val="6"/>
        </w:num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Structuring a Special-Order Problem</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 xml:space="preserve">The </w:t>
      </w:r>
      <w:proofErr w:type="spellStart"/>
      <w:r w:rsidRPr="00491272">
        <w:rPr>
          <w:rFonts w:ascii="Verdana" w:eastAsia="Times New Roman" w:hAnsi="Verdana" w:cs="Times New Roman"/>
          <w:color w:val="333333"/>
          <w:sz w:val="18"/>
          <w:szCs w:val="18"/>
        </w:rPr>
        <w:t>Millenium</w:t>
      </w:r>
      <w:proofErr w:type="spellEnd"/>
      <w:r w:rsidRPr="00491272">
        <w:rPr>
          <w:rFonts w:ascii="Verdana" w:eastAsia="Times New Roman" w:hAnsi="Verdana" w:cs="Times New Roman"/>
          <w:color w:val="333333"/>
          <w:sz w:val="18"/>
          <w:szCs w:val="18"/>
        </w:rPr>
        <w:t xml:space="preserve"> Company has been approached by a new customer with an offer to purchase 10,000 units of its model </w:t>
      </w:r>
      <w:proofErr w:type="spellStart"/>
      <w:r w:rsidRPr="00491272">
        <w:rPr>
          <w:rFonts w:ascii="Verdana" w:eastAsia="Times New Roman" w:hAnsi="Verdana" w:cs="Times New Roman"/>
          <w:color w:val="333333"/>
          <w:sz w:val="18"/>
          <w:szCs w:val="18"/>
        </w:rPr>
        <w:t>F80</w:t>
      </w:r>
      <w:proofErr w:type="spellEnd"/>
      <w:r w:rsidRPr="00491272">
        <w:rPr>
          <w:rFonts w:ascii="Verdana" w:eastAsia="Times New Roman" w:hAnsi="Verdana" w:cs="Times New Roman"/>
          <w:color w:val="333333"/>
          <w:sz w:val="18"/>
          <w:szCs w:val="18"/>
        </w:rPr>
        <w:t xml:space="preserve"> at a price of $4.10 each. The new customer is geographically separated from the company's other customers, and existing sales would not be affected. </w:t>
      </w:r>
      <w:proofErr w:type="spellStart"/>
      <w:r w:rsidRPr="00491272">
        <w:rPr>
          <w:rFonts w:ascii="Verdana" w:eastAsia="Times New Roman" w:hAnsi="Verdana" w:cs="Times New Roman"/>
          <w:color w:val="333333"/>
          <w:sz w:val="18"/>
          <w:szCs w:val="18"/>
        </w:rPr>
        <w:t>Millenium</w:t>
      </w:r>
      <w:proofErr w:type="spellEnd"/>
      <w:r w:rsidRPr="00491272">
        <w:rPr>
          <w:rFonts w:ascii="Verdana" w:eastAsia="Times New Roman" w:hAnsi="Verdana" w:cs="Times New Roman"/>
          <w:color w:val="333333"/>
          <w:sz w:val="18"/>
          <w:szCs w:val="18"/>
        </w:rPr>
        <w:t xml:space="preserve"> normally produces 75,000 units of </w:t>
      </w:r>
      <w:proofErr w:type="spellStart"/>
      <w:r w:rsidRPr="00491272">
        <w:rPr>
          <w:rFonts w:ascii="Verdana" w:eastAsia="Times New Roman" w:hAnsi="Verdana" w:cs="Times New Roman"/>
          <w:color w:val="333333"/>
          <w:sz w:val="18"/>
          <w:szCs w:val="18"/>
        </w:rPr>
        <w:t>F80</w:t>
      </w:r>
      <w:proofErr w:type="spellEnd"/>
      <w:r w:rsidRPr="00491272">
        <w:rPr>
          <w:rFonts w:ascii="Verdana" w:eastAsia="Times New Roman" w:hAnsi="Verdana" w:cs="Times New Roman"/>
          <w:color w:val="333333"/>
          <w:sz w:val="18"/>
          <w:szCs w:val="18"/>
        </w:rPr>
        <w:t xml:space="preserve"> per year but only plans to produce and sell 60,000 in the coming year. The normal sales price is $12 per unit. Unit cost information for the normal level of activity is as follows:</w:t>
      </w:r>
    </w:p>
    <w:tbl>
      <w:tblPr>
        <w:tblW w:w="52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636"/>
        <w:gridCol w:w="614"/>
      </w:tblGrid>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Direct materials</w:t>
            </w:r>
          </w:p>
        </w:tc>
        <w:tc>
          <w:tcPr>
            <w:tcW w:w="600" w:type="dxa"/>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$1.75</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Direct labor</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Variable overhead</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1.50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Fixed overhead</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3.25</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Total</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$9.00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Fixed overhead will not be affected by whether or not the special order is accepted.</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Should the company accept or reject the special order?</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ACCEPT OR REJECT?</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By how much will operating income increase or decrease if the order is accepted?</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sidRPr="00491272">
        <w:rPr>
          <w:rFonts w:ascii="Verdana" w:eastAsia="Times New Roman" w:hAnsi="Verdana" w:cs="Times New Roman"/>
          <w:color w:val="333333"/>
          <w:sz w:val="18"/>
          <w:szCs w:val="18"/>
        </w:rPr>
        <w:t> </w:t>
      </w:r>
      <w:r w:rsidRPr="00491272">
        <w:rPr>
          <w:rFonts w:ascii="Verdana" w:eastAsia="Times New Roman" w:hAnsi="Verdana" w:cs="Times New Roman"/>
          <w:b/>
          <w:color w:val="333333"/>
          <w:sz w:val="18"/>
          <w:szCs w:val="18"/>
        </w:rPr>
        <w:t>INCREASE OR DECREASE?</w:t>
      </w:r>
      <w:r>
        <w:rPr>
          <w:rFonts w:ascii="Verdana" w:eastAsia="Times New Roman" w:hAnsi="Verdana" w:cs="Times New Roman"/>
          <w:color w:val="333333"/>
          <w:sz w:val="18"/>
          <w:szCs w:val="18"/>
        </w:rPr>
        <w:t xml:space="preserve"> </w:t>
      </w:r>
      <w:r w:rsidRPr="00491272">
        <w:rPr>
          <w:rFonts w:ascii="Verdana" w:eastAsia="Times New Roman" w:hAnsi="Verdana" w:cs="Times New Roman"/>
          <w:color w:val="333333"/>
          <w:sz w:val="18"/>
          <w:szCs w:val="18"/>
        </w:rPr>
        <w:t>by $</w:t>
      </w:r>
      <w:r w:rsidRPr="00491272">
        <w:rPr>
          <w:rFonts w:ascii="Verdana" w:eastAsia="Times New Roman" w:hAnsi="Verdana" w:cs="Times New Roman"/>
          <w:color w:val="333333"/>
          <w:sz w:val="18"/>
          <w:szCs w:val="18"/>
        </w:rPr>
        <w:object w:dxaOrig="1440" w:dyaOrig="1440">
          <v:shape id="_x0000_i1130" type="#_x0000_t75" style="width:1in;height:18.6pt" o:ole="">
            <v:imagedata r:id="rId5" o:title=""/>
          </v:shape>
          <w:control r:id="rId26" w:name="DefaultOcxName10" w:shapeid="_x0000_i1130"/>
        </w:object>
      </w:r>
    </w:p>
    <w:p w:rsidR="00491272" w:rsidRPr="00491272" w:rsidRDefault="00491272" w:rsidP="00491272">
      <w:pPr>
        <w:shd w:val="clear" w:color="auto" w:fill="FFFFFF"/>
        <w:spacing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Structuring a Keep-or-Drop Product Line Problem</w:t>
      </w:r>
    </w:p>
    <w:p w:rsidR="00491272" w:rsidRPr="00641E86" w:rsidRDefault="00491272" w:rsidP="00641E86">
      <w:pPr>
        <w:pStyle w:val="ListParagraph"/>
        <w:numPr>
          <w:ilvl w:val="0"/>
          <w:numId w:val="6"/>
        </w:num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Shown below is a segmented income statement for Orzo Company's three laminated flooring product lines:</w:t>
      </w:r>
    </w:p>
    <w:tbl>
      <w:tblPr>
        <w:tblW w:w="90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710"/>
        <w:gridCol w:w="957"/>
        <w:gridCol w:w="450"/>
        <w:gridCol w:w="957"/>
        <w:gridCol w:w="450"/>
        <w:gridCol w:w="1069"/>
        <w:gridCol w:w="450"/>
        <w:gridCol w:w="957"/>
      </w:tblGrid>
      <w:tr w:rsidR="00491272" w:rsidRPr="00491272" w:rsidTr="00491272">
        <w:trPr>
          <w:tblCellSpacing w:w="0" w:type="dxa"/>
        </w:trPr>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900" w:type="dxa"/>
            <w:tcBorders>
              <w:bottom w:val="single" w:sz="6" w:space="0" w:color="000000"/>
            </w:tcBorders>
            <w:shd w:val="clear" w:color="auto" w:fill="FFFFFF"/>
            <w:vAlign w:val="center"/>
            <w:hideMark/>
          </w:tcPr>
          <w:p w:rsidR="00491272" w:rsidRPr="00491272" w:rsidRDefault="00491272" w:rsidP="00491272">
            <w:pPr>
              <w:spacing w:after="0" w:line="360" w:lineRule="atLeast"/>
              <w:jc w:val="center"/>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Strip</w:t>
            </w:r>
          </w:p>
        </w:tc>
        <w:tc>
          <w:tcPr>
            <w:tcW w:w="450" w:type="dxa"/>
            <w:tcBorders>
              <w:bottom w:val="single" w:sz="6" w:space="0" w:color="000000"/>
            </w:tcBorders>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900" w:type="dxa"/>
            <w:tcBorders>
              <w:bottom w:val="single" w:sz="6" w:space="0" w:color="000000"/>
            </w:tcBorders>
            <w:shd w:val="clear" w:color="auto" w:fill="FFFFFF"/>
            <w:vAlign w:val="center"/>
            <w:hideMark/>
          </w:tcPr>
          <w:p w:rsidR="00491272" w:rsidRPr="00491272" w:rsidRDefault="00491272" w:rsidP="00491272">
            <w:pPr>
              <w:spacing w:after="0" w:line="360" w:lineRule="atLeast"/>
              <w:jc w:val="center"/>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Plank</w:t>
            </w:r>
          </w:p>
        </w:tc>
        <w:tc>
          <w:tcPr>
            <w:tcW w:w="450" w:type="dxa"/>
            <w:tcBorders>
              <w:bottom w:val="single" w:sz="6" w:space="0" w:color="000000"/>
            </w:tcBorders>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1050" w:type="dxa"/>
            <w:tcBorders>
              <w:bottom w:val="single" w:sz="6" w:space="0" w:color="000000"/>
            </w:tcBorders>
            <w:shd w:val="clear" w:color="auto" w:fill="FFFFFF"/>
            <w:vAlign w:val="center"/>
            <w:hideMark/>
          </w:tcPr>
          <w:p w:rsidR="00491272" w:rsidRPr="00491272" w:rsidRDefault="00491272" w:rsidP="00491272">
            <w:pPr>
              <w:spacing w:after="0" w:line="360" w:lineRule="atLeast"/>
              <w:jc w:val="center"/>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Parquet</w:t>
            </w:r>
          </w:p>
        </w:tc>
        <w:tc>
          <w:tcPr>
            <w:tcW w:w="450" w:type="dxa"/>
            <w:tcBorders>
              <w:bottom w:val="single" w:sz="6" w:space="0" w:color="000000"/>
            </w:tcBorders>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900" w:type="dxa"/>
            <w:tcBorders>
              <w:bottom w:val="single" w:sz="6" w:space="0" w:color="000000"/>
            </w:tcBorders>
            <w:shd w:val="clear" w:color="auto" w:fill="FFFFFF"/>
            <w:vAlign w:val="center"/>
            <w:hideMark/>
          </w:tcPr>
          <w:p w:rsidR="00491272" w:rsidRPr="00491272" w:rsidRDefault="00491272" w:rsidP="00491272">
            <w:pPr>
              <w:spacing w:after="0" w:line="360" w:lineRule="atLeast"/>
              <w:jc w:val="center"/>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Total</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Sales revenue</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$400,000</w:t>
            </w:r>
          </w:p>
        </w:tc>
        <w:tc>
          <w:tcPr>
            <w:tcW w:w="0" w:type="auto"/>
            <w:vMerge w:val="restart"/>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$200,000</w:t>
            </w:r>
          </w:p>
        </w:tc>
        <w:tc>
          <w:tcPr>
            <w:tcW w:w="0" w:type="auto"/>
            <w:vMerge w:val="restart"/>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$300,000</w:t>
            </w:r>
          </w:p>
        </w:tc>
        <w:tc>
          <w:tcPr>
            <w:tcW w:w="0" w:type="auto"/>
            <w:vMerge w:val="restart"/>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$900,000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Less: Variable expenses</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225,000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120,000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595,000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Contribution margin</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$175,000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$ 80,000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$ 50,000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$305,000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Less direct fixed expenses:</w:t>
            </w:r>
          </w:p>
        </w:tc>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rPr>
                <w:rFonts w:ascii="Times New Roman" w:eastAsia="Times New Roman" w:hAnsi="Times New Roman" w:cs="Times New Roman"/>
                <w:sz w:val="20"/>
                <w:szCs w:val="20"/>
              </w:rPr>
            </w:pP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rPr>
                <w:rFonts w:ascii="Times New Roman" w:eastAsia="Times New Roman" w:hAnsi="Times New Roman" w:cs="Times New Roman"/>
                <w:sz w:val="20"/>
                <w:szCs w:val="20"/>
              </w:rPr>
            </w:pP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rPr>
                <w:rFonts w:ascii="Times New Roman" w:eastAsia="Times New Roman" w:hAnsi="Times New Roman" w:cs="Times New Roman"/>
                <w:sz w:val="20"/>
                <w:szCs w:val="20"/>
              </w:rPr>
            </w:pP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Machine rent</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(50,000)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(75,000)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Supervision</w:t>
            </w: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(45,000)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lastRenderedPageBreak/>
              <w:t>   Depreciation</w:t>
            </w: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(35,000)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(25,000)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sing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(70,000)</w:t>
            </w:r>
          </w:p>
        </w:tc>
      </w:tr>
      <w:tr w:rsidR="00491272" w:rsidRPr="00491272" w:rsidTr="00491272">
        <w:trPr>
          <w:tblCellSpacing w:w="0" w:type="dxa"/>
        </w:trPr>
        <w:tc>
          <w:tcPr>
            <w:tcW w:w="0" w:type="auto"/>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Segment margin</w:t>
            </w: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$120,000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$ 40,000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 (45,000)</w:t>
            </w:r>
          </w:p>
        </w:tc>
        <w:tc>
          <w:tcPr>
            <w:tcW w:w="0" w:type="auto"/>
            <w:vMerge/>
            <w:shd w:val="clear" w:color="auto" w:fill="FFFFFF"/>
            <w:vAlign w:val="center"/>
            <w:hideMark/>
          </w:tcPr>
          <w:p w:rsidR="00491272" w:rsidRPr="00491272" w:rsidRDefault="00491272" w:rsidP="00491272">
            <w:pPr>
              <w:spacing w:after="0" w:line="360" w:lineRule="atLeast"/>
              <w:rPr>
                <w:rFonts w:ascii="Verdana" w:eastAsia="Times New Roman" w:hAnsi="Verdana" w:cs="Times New Roman"/>
                <w:color w:val="333333"/>
                <w:sz w:val="18"/>
                <w:szCs w:val="18"/>
              </w:rPr>
            </w:pPr>
          </w:p>
        </w:tc>
        <w:tc>
          <w:tcPr>
            <w:tcW w:w="0" w:type="auto"/>
            <w:tcBorders>
              <w:bottom w:val="double" w:sz="6" w:space="0" w:color="000000"/>
            </w:tcBorders>
            <w:shd w:val="clear" w:color="auto" w:fill="FFFFFF"/>
            <w:vAlign w:val="center"/>
            <w:hideMark/>
          </w:tcPr>
          <w:p w:rsidR="00491272" w:rsidRPr="00491272" w:rsidRDefault="00491272" w:rsidP="00491272">
            <w:pPr>
              <w:spacing w:after="0" w:line="360" w:lineRule="atLeast"/>
              <w:jc w:val="righ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$115,000</w:t>
            </w:r>
          </w:p>
        </w:tc>
      </w:tr>
    </w:tbl>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color w:val="333333"/>
          <w:sz w:val="18"/>
          <w:szCs w:val="18"/>
        </w:rPr>
        <w:t>Orzo's management is deciding whether to keep or drop the parquet product line. Orzo's parquet flooring product line has a contribution margin of $50,000 (sales of $300,000 less total variable costs of $250,000). All variable costs are relevant. Relevant fixed costs associated with this line include $30,000 in machine rent and $4,700 in supervision salaries.</w:t>
      </w:r>
    </w:p>
    <w:p w:rsidR="00491272" w:rsidRPr="00491272" w:rsidRDefault="00491272" w:rsidP="00491272">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Required:</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1.  </w:t>
      </w:r>
      <w:r w:rsidRPr="00491272">
        <w:rPr>
          <w:rFonts w:ascii="Verdana" w:eastAsia="Times New Roman" w:hAnsi="Verdana" w:cs="Times New Roman"/>
          <w:color w:val="333333"/>
          <w:sz w:val="18"/>
          <w:szCs w:val="18"/>
        </w:rPr>
        <w:t>List the alternatives being considered with respect to the parquet flooring line.</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DROP THE PARQUET FLOORING LINE OR KEEP IT, EXPAND THE PARQUET FLOORING LINE, OR NEITHER OF THESE ALTERNATIVES ARE BEING CONSIDERED?</w:t>
      </w:r>
    </w:p>
    <w:p w:rsidR="00491272" w:rsidRPr="00491272" w:rsidRDefault="00491272" w:rsidP="00491272">
      <w:pPr>
        <w:shd w:val="clear" w:color="auto" w:fill="FFFFFF"/>
        <w:spacing w:beforeAutospacing="1" w:after="0" w:afterAutospacing="1" w:line="360" w:lineRule="atLeast"/>
        <w:rPr>
          <w:rFonts w:ascii="Verdana" w:eastAsia="Times New Roman" w:hAnsi="Verdana" w:cs="Times New Roman"/>
          <w:color w:val="333333"/>
          <w:sz w:val="18"/>
          <w:szCs w:val="18"/>
        </w:rPr>
      </w:pPr>
      <w:r w:rsidRPr="00491272">
        <w:rPr>
          <w:rFonts w:ascii="Verdana" w:eastAsia="Times New Roman" w:hAnsi="Verdana" w:cs="Times New Roman"/>
          <w:b/>
          <w:bCs/>
          <w:color w:val="333333"/>
          <w:sz w:val="18"/>
          <w:szCs w:val="18"/>
        </w:rPr>
        <w:t>2.  </w:t>
      </w:r>
      <w:r w:rsidRPr="00491272">
        <w:rPr>
          <w:rFonts w:ascii="Verdana" w:eastAsia="Times New Roman" w:hAnsi="Verdana" w:cs="Times New Roman"/>
          <w:color w:val="333333"/>
          <w:sz w:val="18"/>
          <w:szCs w:val="18"/>
        </w:rPr>
        <w:t>Which alternative is more cost effective and by how much?</w:t>
      </w:r>
      <w:r w:rsidRPr="00491272">
        <w:rPr>
          <w:rFonts w:ascii="Verdana" w:eastAsia="Times New Roman" w:hAnsi="Verdana" w:cs="Times New Roman"/>
          <w:color w:val="333333"/>
          <w:sz w:val="18"/>
          <w:szCs w:val="18"/>
        </w:rPr>
        <w:br/>
      </w:r>
      <w:r w:rsidRPr="00491272">
        <w:rPr>
          <w:rFonts w:ascii="Verdana" w:eastAsia="Times New Roman" w:hAnsi="Verdana" w:cs="Times New Roman"/>
          <w:b/>
          <w:bCs/>
          <w:color w:val="5393C5"/>
          <w:sz w:val="18"/>
          <w:szCs w:val="18"/>
        </w:rPr>
        <w:t> </w:t>
      </w:r>
      <w:r>
        <w:rPr>
          <w:rFonts w:ascii="Verdana" w:eastAsia="Times New Roman" w:hAnsi="Verdana" w:cs="Times New Roman"/>
          <w:b/>
          <w:bCs/>
          <w:color w:val="5393C5"/>
          <w:sz w:val="18"/>
          <w:szCs w:val="18"/>
        </w:rPr>
        <w:t>DROP OR KEEP?</w:t>
      </w:r>
      <w:r w:rsidRPr="00491272">
        <w:rPr>
          <w:rFonts w:ascii="Verdana" w:eastAsia="Times New Roman" w:hAnsi="Verdana" w:cs="Times New Roman"/>
          <w:color w:val="333333"/>
          <w:sz w:val="18"/>
          <w:szCs w:val="18"/>
        </w:rPr>
        <w:t> by $</w:t>
      </w:r>
      <w:r w:rsidRPr="00491272">
        <w:rPr>
          <w:rFonts w:ascii="Verdana" w:eastAsia="Times New Roman" w:hAnsi="Verdana" w:cs="Times New Roman"/>
          <w:color w:val="333333"/>
          <w:sz w:val="18"/>
          <w:szCs w:val="18"/>
        </w:rPr>
        <w:object w:dxaOrig="1440" w:dyaOrig="1440">
          <v:shape id="_x0000_i1133" type="#_x0000_t75" style="width:1in;height:18.6pt" o:ole="">
            <v:imagedata r:id="rId5" o:title=""/>
          </v:shape>
          <w:control r:id="rId27" w:name="DefaultOcxName16" w:shapeid="_x0000_i1133"/>
        </w:object>
      </w:r>
    </w:p>
    <w:p w:rsidR="00641E86" w:rsidRPr="00641E86" w:rsidRDefault="00641E86" w:rsidP="00641E86">
      <w:pPr>
        <w:pStyle w:val="ListParagraph"/>
        <w:numPr>
          <w:ilvl w:val="0"/>
          <w:numId w:val="6"/>
        </w:numPr>
        <w:spacing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Structuring a Keep-or-Drop Product Line Problem with Complementary Effects</w:t>
      </w:r>
    </w:p>
    <w:p w:rsidR="00641E86" w:rsidRPr="00641E86" w:rsidRDefault="00641E86" w:rsidP="00641E86">
      <w:pPr>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Shown below is a segmented income statement for Hickory Company's three wooden flooring product lines:</w:t>
      </w:r>
    </w:p>
    <w:tbl>
      <w:tblPr>
        <w:tblW w:w="9000" w:type="dxa"/>
        <w:tblCellSpacing w:w="0" w:type="dxa"/>
        <w:tblCellMar>
          <w:top w:w="45" w:type="dxa"/>
          <w:left w:w="45" w:type="dxa"/>
          <w:bottom w:w="45" w:type="dxa"/>
          <w:right w:w="45" w:type="dxa"/>
        </w:tblCellMar>
        <w:tblLook w:val="04A0" w:firstRow="1" w:lastRow="0" w:firstColumn="1" w:lastColumn="0" w:noHBand="0" w:noVBand="1"/>
      </w:tblPr>
      <w:tblGrid>
        <w:gridCol w:w="3710"/>
        <w:gridCol w:w="957"/>
        <w:gridCol w:w="450"/>
        <w:gridCol w:w="957"/>
        <w:gridCol w:w="450"/>
        <w:gridCol w:w="1069"/>
        <w:gridCol w:w="450"/>
        <w:gridCol w:w="957"/>
      </w:tblGrid>
      <w:tr w:rsidR="00641E86" w:rsidRPr="00641E86" w:rsidTr="00641E86">
        <w:trPr>
          <w:tblCellSpacing w:w="0" w:type="dxa"/>
        </w:trPr>
        <w:tc>
          <w:tcPr>
            <w:tcW w:w="0" w:type="auto"/>
            <w:tcBorders>
              <w:bottom w:val="single" w:sz="6" w:space="0" w:color="000000"/>
            </w:tcBorders>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900" w:type="dxa"/>
            <w:tcBorders>
              <w:bottom w:val="single" w:sz="6" w:space="0" w:color="000000"/>
            </w:tcBorders>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Strip</w:t>
            </w:r>
          </w:p>
        </w:tc>
        <w:tc>
          <w:tcPr>
            <w:tcW w:w="450" w:type="dxa"/>
            <w:tcBorders>
              <w:bottom w:val="single" w:sz="6" w:space="0" w:color="000000"/>
            </w:tcBorders>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900" w:type="dxa"/>
            <w:tcBorders>
              <w:bottom w:val="single" w:sz="6" w:space="0" w:color="000000"/>
            </w:tcBorders>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Plank</w:t>
            </w:r>
          </w:p>
        </w:tc>
        <w:tc>
          <w:tcPr>
            <w:tcW w:w="450" w:type="dxa"/>
            <w:tcBorders>
              <w:bottom w:val="single" w:sz="6" w:space="0" w:color="000000"/>
            </w:tcBorders>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1050" w:type="dxa"/>
            <w:tcBorders>
              <w:bottom w:val="single" w:sz="6" w:space="0" w:color="000000"/>
            </w:tcBorders>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Parquet</w:t>
            </w:r>
          </w:p>
        </w:tc>
        <w:tc>
          <w:tcPr>
            <w:tcW w:w="450" w:type="dxa"/>
            <w:tcBorders>
              <w:bottom w:val="single" w:sz="6" w:space="0" w:color="000000"/>
            </w:tcBorders>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900" w:type="dxa"/>
            <w:tcBorders>
              <w:bottom w:val="single" w:sz="6" w:space="0" w:color="000000"/>
            </w:tcBorders>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Total</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Sales revenue</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$400,000</w:t>
            </w:r>
          </w:p>
        </w:tc>
        <w:tc>
          <w:tcPr>
            <w:tcW w:w="0" w:type="auto"/>
            <w:vMerge w:val="restart"/>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$200,000</w:t>
            </w:r>
          </w:p>
        </w:tc>
        <w:tc>
          <w:tcPr>
            <w:tcW w:w="0" w:type="auto"/>
            <w:vMerge w:val="restart"/>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$300,000</w:t>
            </w:r>
          </w:p>
        </w:tc>
        <w:tc>
          <w:tcPr>
            <w:tcW w:w="0" w:type="auto"/>
            <w:vMerge w:val="restart"/>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$900,000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Less: Variable expenses</w:t>
            </w: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225,000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120,000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250,000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595,000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Contribution margin</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$175,000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$ 80,000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$ 50,000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$305,000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Less direct fixed expenses:</w:t>
            </w:r>
          </w:p>
        </w:tc>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rPr>
                <w:rFonts w:ascii="Times New Roman" w:eastAsia="Times New Roman" w:hAnsi="Times New Roman" w:cs="Times New Roman"/>
                <w:sz w:val="20"/>
                <w:szCs w:val="20"/>
              </w:rPr>
            </w:pP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rPr>
                <w:rFonts w:ascii="Times New Roman" w:eastAsia="Times New Roman" w:hAnsi="Times New Roman" w:cs="Times New Roman"/>
                <w:sz w:val="20"/>
                <w:szCs w:val="20"/>
              </w:rPr>
            </w:pP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rPr>
                <w:rFonts w:ascii="Times New Roman" w:eastAsia="Times New Roman" w:hAnsi="Times New Roman" w:cs="Times New Roman"/>
                <w:sz w:val="20"/>
                <w:szCs w:val="20"/>
              </w:rPr>
            </w:pP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Machine rent</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(20,000)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(30,000)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(55,000)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Supervision</w:t>
            </w: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(30,000)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Depreciation</w:t>
            </w: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(35,000)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(25,000)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sing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(70,000)</w:t>
            </w:r>
          </w:p>
        </w:tc>
      </w:tr>
      <w:tr w:rsidR="00641E86" w:rsidRPr="00641E86" w:rsidTr="00641E86">
        <w:trPr>
          <w:tblCellSpacing w:w="0" w:type="dxa"/>
        </w:trPr>
        <w:tc>
          <w:tcPr>
            <w:tcW w:w="0" w:type="auto"/>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Segment margin</w:t>
            </w:r>
          </w:p>
        </w:tc>
        <w:tc>
          <w:tcPr>
            <w:tcW w:w="0" w:type="auto"/>
            <w:tcBorders>
              <w:bottom w:val="doub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$120,000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doub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$ 40,000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doub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(10,000)</w:t>
            </w:r>
          </w:p>
        </w:tc>
        <w:tc>
          <w:tcPr>
            <w:tcW w:w="0" w:type="auto"/>
            <w:vMerge/>
            <w:vAlign w:val="center"/>
            <w:hideMark/>
          </w:tcPr>
          <w:p w:rsidR="00641E86" w:rsidRPr="00641E86" w:rsidRDefault="00641E86" w:rsidP="00641E86">
            <w:pPr>
              <w:spacing w:after="0" w:line="240" w:lineRule="auto"/>
              <w:rPr>
                <w:rFonts w:ascii="Verdana" w:eastAsia="Times New Roman" w:hAnsi="Verdana" w:cs="Times New Roman"/>
                <w:color w:val="333333"/>
                <w:sz w:val="18"/>
                <w:szCs w:val="18"/>
              </w:rPr>
            </w:pPr>
          </w:p>
        </w:tc>
        <w:tc>
          <w:tcPr>
            <w:tcW w:w="0" w:type="auto"/>
            <w:tcBorders>
              <w:bottom w:val="double" w:sz="6" w:space="0" w:color="000000"/>
            </w:tcBorders>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$150,000</w:t>
            </w:r>
          </w:p>
        </w:tc>
      </w:tr>
    </w:tbl>
    <w:p w:rsidR="00641E86" w:rsidRPr="00641E86" w:rsidRDefault="00641E86" w:rsidP="00641E86">
      <w:pPr>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lastRenderedPageBreak/>
        <w:t>Hickory's parquet flooring product line has a contribution margin of $50,000 (sales of $300,000 less total variable costs of $250,000). All variable costs are relevant. Relevant fixed costs associated with this line include $30,000 in machine rent and $5,000 in supervision salaries.</w:t>
      </w:r>
    </w:p>
    <w:p w:rsidR="00641E86" w:rsidRPr="00641E86" w:rsidRDefault="00641E86" w:rsidP="00641E86">
      <w:pPr>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Assume that dropping the parquet product line would reduce sales of the strip line by 22% and sales of the plank line by 20%. All other information remains the same.</w:t>
      </w:r>
    </w:p>
    <w:p w:rsidR="00641E86" w:rsidRPr="00641E86" w:rsidRDefault="00641E86" w:rsidP="00641E86">
      <w:pPr>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Required:</w:t>
      </w:r>
    </w:p>
    <w:p w:rsidR="00641E86" w:rsidRPr="00641E86" w:rsidRDefault="00641E86" w:rsidP="00641E86">
      <w:pPr>
        <w:spacing w:beforeAutospacing="1" w:after="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1.  </w:t>
      </w:r>
      <w:r w:rsidRPr="00641E86">
        <w:rPr>
          <w:rFonts w:ascii="Verdana" w:eastAsia="Times New Roman" w:hAnsi="Verdana" w:cs="Times New Roman"/>
          <w:color w:val="333333"/>
          <w:sz w:val="18"/>
          <w:szCs w:val="18"/>
        </w:rPr>
        <w:t>If the parquet product line is dropped, what is the contribution margin for the strip line?</w:t>
      </w:r>
      <w:r w:rsidRPr="00641E86">
        <w:rPr>
          <w:rFonts w:ascii="Verdana" w:eastAsia="Times New Roman" w:hAnsi="Verdana" w:cs="Times New Roman"/>
          <w:color w:val="333333"/>
          <w:sz w:val="18"/>
          <w:szCs w:val="18"/>
        </w:rPr>
        <w:br/>
        <w:t>$</w:t>
      </w:r>
      <w:r w:rsidRPr="00641E86">
        <w:rPr>
          <w:rFonts w:ascii="Verdana" w:eastAsia="Times New Roman" w:hAnsi="Verdana" w:cs="Times New Roman"/>
          <w:color w:val="333333"/>
          <w:sz w:val="18"/>
          <w:szCs w:val="18"/>
        </w:rPr>
        <w:object w:dxaOrig="225" w:dyaOrig="225">
          <v:shape id="_x0000_i1142" type="#_x0000_t75" style="width:1in;height:18.6pt" o:ole="">
            <v:imagedata r:id="rId5" o:title=""/>
          </v:shape>
          <w:control r:id="rId28" w:name="DefaultOcxName18" w:shapeid="_x0000_i1142"/>
        </w:object>
      </w:r>
    </w:p>
    <w:p w:rsidR="00641E86" w:rsidRPr="00641E86" w:rsidRDefault="00641E86" w:rsidP="00641E86">
      <w:pPr>
        <w:spacing w:beforeAutospacing="1" w:after="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For the plank line?</w:t>
      </w:r>
      <w:r w:rsidRPr="00641E86">
        <w:rPr>
          <w:rFonts w:ascii="Verdana" w:eastAsia="Times New Roman" w:hAnsi="Verdana" w:cs="Times New Roman"/>
          <w:color w:val="333333"/>
          <w:sz w:val="18"/>
          <w:szCs w:val="18"/>
        </w:rPr>
        <w:br/>
        <w:t>$</w:t>
      </w:r>
      <w:r w:rsidRPr="00641E86">
        <w:rPr>
          <w:rFonts w:ascii="Verdana" w:eastAsia="Times New Roman" w:hAnsi="Verdana" w:cs="Times New Roman"/>
          <w:color w:val="333333"/>
          <w:sz w:val="18"/>
          <w:szCs w:val="18"/>
        </w:rPr>
        <w:object w:dxaOrig="225" w:dyaOrig="225">
          <v:shape id="_x0000_i1141" type="#_x0000_t75" style="width:1in;height:18.6pt" o:ole="">
            <v:imagedata r:id="rId5" o:title=""/>
          </v:shape>
          <w:control r:id="rId29" w:name="DefaultOcxName17" w:shapeid="_x0000_i1141"/>
        </w:object>
      </w:r>
    </w:p>
    <w:p w:rsidR="00641E86" w:rsidRPr="00641E86" w:rsidRDefault="00641E86" w:rsidP="00641E86">
      <w:pPr>
        <w:spacing w:beforeAutospacing="1" w:after="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2.  </w:t>
      </w:r>
      <w:r w:rsidRPr="00641E86">
        <w:rPr>
          <w:rFonts w:ascii="Verdana" w:eastAsia="Times New Roman" w:hAnsi="Verdana" w:cs="Times New Roman"/>
          <w:color w:val="333333"/>
          <w:sz w:val="18"/>
          <w:szCs w:val="18"/>
        </w:rPr>
        <w:t>Which alternative (keep or drop the parquet product line) is now more cost effective and by how much?</w:t>
      </w:r>
      <w:r w:rsidRPr="00641E86">
        <w:rPr>
          <w:rFonts w:ascii="Verdana" w:eastAsia="Times New Roman" w:hAnsi="Verdana" w:cs="Times New Roman"/>
          <w:color w:val="333333"/>
          <w:sz w:val="18"/>
          <w:szCs w:val="18"/>
        </w:rPr>
        <w:br/>
      </w:r>
      <w:r w:rsidRPr="00641E86">
        <w:rPr>
          <w:rFonts w:ascii="Verdana" w:eastAsia="Times New Roman" w:hAnsi="Verdana" w:cs="Times New Roman"/>
          <w:b/>
          <w:bCs/>
          <w:color w:val="5393C5"/>
          <w:sz w:val="18"/>
          <w:szCs w:val="18"/>
        </w:rPr>
        <w:t> </w:t>
      </w:r>
      <w:r w:rsidRPr="00641E86">
        <w:rPr>
          <w:rFonts w:ascii="Verdana" w:eastAsia="Times New Roman" w:hAnsi="Verdana" w:cs="Times New Roman"/>
          <w:color w:val="333333"/>
          <w:sz w:val="18"/>
          <w:szCs w:val="18"/>
        </w:rPr>
        <w:t> </w:t>
      </w:r>
      <w:r w:rsidRPr="00641E86">
        <w:rPr>
          <w:rFonts w:ascii="Verdana" w:eastAsia="Times New Roman" w:hAnsi="Verdana" w:cs="Times New Roman"/>
          <w:b/>
          <w:color w:val="333333"/>
          <w:sz w:val="18"/>
          <w:szCs w:val="18"/>
        </w:rPr>
        <w:t>DROP OR KEEP?</w:t>
      </w:r>
      <w:r>
        <w:rPr>
          <w:rFonts w:ascii="Verdana" w:eastAsia="Times New Roman" w:hAnsi="Verdana" w:cs="Times New Roman"/>
          <w:color w:val="333333"/>
          <w:sz w:val="18"/>
          <w:szCs w:val="18"/>
        </w:rPr>
        <w:t xml:space="preserve"> </w:t>
      </w:r>
      <w:r w:rsidRPr="00641E86">
        <w:rPr>
          <w:rFonts w:ascii="Verdana" w:eastAsia="Times New Roman" w:hAnsi="Verdana" w:cs="Times New Roman"/>
          <w:color w:val="333333"/>
          <w:sz w:val="18"/>
          <w:szCs w:val="18"/>
        </w:rPr>
        <w:t>by $</w:t>
      </w:r>
      <w:r w:rsidRPr="00641E86">
        <w:rPr>
          <w:rFonts w:ascii="Verdana" w:eastAsia="Times New Roman" w:hAnsi="Verdana" w:cs="Times New Roman"/>
          <w:color w:val="333333"/>
          <w:sz w:val="18"/>
          <w:szCs w:val="18"/>
        </w:rPr>
        <w:object w:dxaOrig="225" w:dyaOrig="225">
          <v:shape id="_x0000_i1140" type="#_x0000_t75" style="width:1in;height:18.6pt" o:ole="">
            <v:imagedata r:id="rId5" o:title=""/>
          </v:shape>
          <w:control r:id="rId30" w:name="DefaultOcxName24" w:shapeid="_x0000_i1140"/>
        </w:object>
      </w:r>
    </w:p>
    <w:p w:rsidR="00491272" w:rsidRDefault="00491272" w:rsidP="00491272">
      <w:pPr>
        <w:pStyle w:val="ListParagraph"/>
        <w:ind w:left="-90"/>
      </w:pPr>
    </w:p>
    <w:p w:rsidR="00641E86" w:rsidRDefault="00641E86" w:rsidP="00641E86">
      <w:pPr>
        <w:pStyle w:val="NormalWeb"/>
        <w:numPr>
          <w:ilvl w:val="0"/>
          <w:numId w:val="6"/>
        </w:numPr>
        <w:spacing w:before="0" w:beforeAutospacing="0" w:line="360" w:lineRule="atLeast"/>
        <w:rPr>
          <w:rFonts w:ascii="Verdana" w:hAnsi="Verdana"/>
          <w:color w:val="333333"/>
          <w:sz w:val="18"/>
          <w:szCs w:val="18"/>
        </w:rPr>
      </w:pPr>
      <w:r>
        <w:rPr>
          <w:rFonts w:ascii="Verdana" w:hAnsi="Verdana"/>
          <w:color w:val="333333"/>
          <w:sz w:val="18"/>
          <w:szCs w:val="18"/>
        </w:rPr>
        <w:t>Structuring the Sell-or-Process-Further Decision</w:t>
      </w:r>
    </w:p>
    <w:p w:rsidR="00641E86" w:rsidRDefault="00641E86" w:rsidP="00641E86">
      <w:pPr>
        <w:pStyle w:val="NormalWeb"/>
        <w:spacing w:line="360" w:lineRule="atLeast"/>
        <w:rPr>
          <w:rFonts w:ascii="Verdana" w:hAnsi="Verdana"/>
          <w:color w:val="333333"/>
          <w:sz w:val="18"/>
          <w:szCs w:val="18"/>
        </w:rPr>
      </w:pPr>
      <w:r>
        <w:rPr>
          <w:rFonts w:ascii="Verdana" w:hAnsi="Verdana"/>
          <w:color w:val="333333"/>
          <w:sz w:val="18"/>
          <w:szCs w:val="18"/>
        </w:rPr>
        <w:t>Jack's Lumber Yard receives 8,000 large trees each period that it subsequently processes into rough logs by stripping off the tree bark and leaves. Jack’s then must decide whether to sell its rough logs (for use in log cabin construction) at split-off or to process them further into refined lumber (for use in regular construction framing). Jack's normally sells logs for a per-unit price of $505. Alternately, each log can be processed further into 800 feet of lumber at an additional cost of $0.05 per board foot. Also, lumber can be sold for $0.75 per board foot. (Note: One tree is equal to one rough log.)</w:t>
      </w:r>
    </w:p>
    <w:p w:rsidR="00641E86" w:rsidRDefault="00641E86" w:rsidP="00641E86">
      <w:pPr>
        <w:pStyle w:val="NormalWeb"/>
        <w:spacing w:line="360" w:lineRule="atLeast"/>
        <w:rPr>
          <w:rFonts w:ascii="Verdana" w:hAnsi="Verdana"/>
          <w:color w:val="333333"/>
          <w:sz w:val="18"/>
          <w:szCs w:val="18"/>
        </w:rPr>
      </w:pPr>
      <w:r>
        <w:rPr>
          <w:rStyle w:val="Strong"/>
          <w:rFonts w:ascii="Verdana" w:hAnsi="Verdana"/>
          <w:color w:val="333333"/>
          <w:sz w:val="18"/>
          <w:szCs w:val="18"/>
        </w:rPr>
        <w:t>Required:</w:t>
      </w:r>
    </w:p>
    <w:p w:rsidR="00641E86" w:rsidRDefault="00641E86" w:rsidP="00641E86">
      <w:pPr>
        <w:pStyle w:val="narrative3"/>
        <w:spacing w:before="0" w:after="0" w:line="360" w:lineRule="atLeast"/>
        <w:rPr>
          <w:rFonts w:ascii="Verdana" w:hAnsi="Verdana"/>
          <w:color w:val="333333"/>
          <w:sz w:val="18"/>
          <w:szCs w:val="18"/>
        </w:rPr>
      </w:pPr>
      <w:r>
        <w:rPr>
          <w:rStyle w:val="Strong"/>
          <w:rFonts w:ascii="Verdana" w:hAnsi="Verdana"/>
          <w:color w:val="333333"/>
          <w:sz w:val="18"/>
          <w:szCs w:val="18"/>
        </w:rPr>
        <w:t>1.  </w:t>
      </w:r>
      <w:r>
        <w:rPr>
          <w:rFonts w:ascii="Verdana" w:hAnsi="Verdana"/>
          <w:color w:val="333333"/>
          <w:sz w:val="18"/>
          <w:szCs w:val="18"/>
        </w:rPr>
        <w:t>What is the total contribution to income from selling the logs for log cabin construction?</w:t>
      </w:r>
      <w:r>
        <w:rPr>
          <w:rFonts w:ascii="Verdana" w:hAnsi="Verdana"/>
          <w:color w:val="333333"/>
          <w:sz w:val="18"/>
          <w:szCs w:val="18"/>
        </w:rPr>
        <w:br/>
        <w:t>$</w:t>
      </w:r>
      <w:r>
        <w:rPr>
          <w:rFonts w:ascii="Verdana" w:hAnsi="Verdana"/>
          <w:color w:val="333333"/>
          <w:sz w:val="18"/>
          <w:szCs w:val="18"/>
        </w:rPr>
        <w:object w:dxaOrig="225" w:dyaOrig="225">
          <v:shape id="_x0000_i1151" type="#_x0000_t75" style="width:1in;height:18.6pt" o:ole="">
            <v:imagedata r:id="rId5" o:title=""/>
          </v:shape>
          <w:control r:id="rId31" w:name="DefaultOcxName20" w:shapeid="_x0000_i1151"/>
        </w:object>
      </w:r>
    </w:p>
    <w:p w:rsidR="00641E86" w:rsidRDefault="00641E86" w:rsidP="00641E86">
      <w:pPr>
        <w:pStyle w:val="narrative3"/>
        <w:spacing w:before="0" w:after="0" w:line="360" w:lineRule="atLeast"/>
        <w:rPr>
          <w:rFonts w:ascii="Verdana" w:hAnsi="Verdana"/>
          <w:color w:val="333333"/>
          <w:sz w:val="18"/>
          <w:szCs w:val="18"/>
        </w:rPr>
      </w:pPr>
      <w:r>
        <w:rPr>
          <w:rStyle w:val="Strong"/>
          <w:rFonts w:ascii="Verdana" w:hAnsi="Verdana"/>
          <w:color w:val="333333"/>
          <w:sz w:val="18"/>
          <w:szCs w:val="18"/>
        </w:rPr>
        <w:t>2.  </w:t>
      </w:r>
      <w:r>
        <w:rPr>
          <w:rFonts w:ascii="Verdana" w:hAnsi="Verdana"/>
          <w:color w:val="333333"/>
          <w:sz w:val="18"/>
          <w:szCs w:val="18"/>
        </w:rPr>
        <w:t>What is the total contribution to income from processing the logs into lumber?</w:t>
      </w:r>
      <w:r>
        <w:rPr>
          <w:rFonts w:ascii="Verdana" w:hAnsi="Verdana"/>
          <w:color w:val="333333"/>
          <w:sz w:val="18"/>
          <w:szCs w:val="18"/>
        </w:rPr>
        <w:br/>
        <w:t>$</w:t>
      </w:r>
      <w:r>
        <w:rPr>
          <w:rFonts w:ascii="Verdana" w:hAnsi="Verdana"/>
          <w:color w:val="333333"/>
          <w:sz w:val="18"/>
          <w:szCs w:val="18"/>
        </w:rPr>
        <w:object w:dxaOrig="225" w:dyaOrig="225">
          <v:shape id="_x0000_i1150" type="#_x0000_t75" style="width:1in;height:18.6pt" o:ole="">
            <v:imagedata r:id="rId5" o:title=""/>
          </v:shape>
          <w:control r:id="rId32" w:name="DefaultOcxName19" w:shapeid="_x0000_i1150"/>
        </w:object>
      </w:r>
    </w:p>
    <w:p w:rsidR="00641E86" w:rsidRDefault="00641E86" w:rsidP="00641E86">
      <w:pPr>
        <w:pStyle w:val="ListParagraph"/>
        <w:ind w:left="-90"/>
        <w:rPr>
          <w:b/>
        </w:rPr>
      </w:pPr>
      <w:r>
        <w:rPr>
          <w:rStyle w:val="Strong"/>
          <w:rFonts w:ascii="Verdana" w:hAnsi="Verdana"/>
          <w:color w:val="333333"/>
          <w:sz w:val="18"/>
          <w:szCs w:val="18"/>
        </w:rPr>
        <w:lastRenderedPageBreak/>
        <w:t>3.  </w:t>
      </w:r>
      <w:r>
        <w:rPr>
          <w:rFonts w:ascii="Verdana" w:hAnsi="Verdana"/>
          <w:color w:val="333333"/>
          <w:sz w:val="18"/>
          <w:szCs w:val="18"/>
        </w:rPr>
        <w:t>Should Jack's continue to sell the logs or process them further into lumber?</w:t>
      </w:r>
      <w:r>
        <w:rPr>
          <w:rFonts w:ascii="Verdana" w:hAnsi="Verdana"/>
          <w:color w:val="333333"/>
          <w:sz w:val="18"/>
          <w:szCs w:val="18"/>
        </w:rPr>
        <w:br/>
      </w:r>
      <w:r>
        <w:rPr>
          <w:rStyle w:val="ci-select-control"/>
          <w:rFonts w:ascii="Verdana" w:hAnsi="Verdana"/>
          <w:b/>
          <w:bCs/>
          <w:color w:val="5393C5"/>
          <w:sz w:val="18"/>
          <w:szCs w:val="18"/>
          <w:shd w:val="clear" w:color="auto" w:fill="FFFFFF"/>
        </w:rPr>
        <w:t> </w:t>
      </w:r>
      <w:r>
        <w:rPr>
          <w:rFonts w:ascii="Verdana" w:hAnsi="Verdana"/>
          <w:color w:val="333333"/>
          <w:sz w:val="18"/>
          <w:szCs w:val="18"/>
        </w:rPr>
        <w:br/>
      </w:r>
      <w:r w:rsidRPr="00641E86">
        <w:rPr>
          <w:b/>
        </w:rPr>
        <w:t xml:space="preserve">JACK’S SHOULD CONTINUE TO SELL THE LOGS </w:t>
      </w:r>
      <w:r w:rsidRPr="00641E86">
        <w:rPr>
          <w:b/>
          <w:color w:val="FF0000"/>
        </w:rPr>
        <w:t>OR</w:t>
      </w:r>
      <w:r w:rsidRPr="00641E86">
        <w:rPr>
          <w:b/>
        </w:rPr>
        <w:t xml:space="preserve"> JACK’S SHOULD PROCESS THE LOGS INTO LUMBER?</w:t>
      </w:r>
    </w:p>
    <w:p w:rsidR="00641E86" w:rsidRDefault="00641E86" w:rsidP="00641E86">
      <w:pPr>
        <w:pStyle w:val="ListParagraph"/>
        <w:ind w:left="-90"/>
      </w:pPr>
    </w:p>
    <w:p w:rsidR="00641E86" w:rsidRPr="00641E86" w:rsidRDefault="00641E86" w:rsidP="00641E86">
      <w:pPr>
        <w:pStyle w:val="ListParagraph"/>
        <w:numPr>
          <w:ilvl w:val="0"/>
          <w:numId w:val="6"/>
        </w:numPr>
        <w:shd w:val="clear" w:color="auto" w:fill="FFFFFF"/>
        <w:spacing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Determining the Optimal Product Mix with One Constrained Resource</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Casual Essentials, Inc. manufactures two types of team shirts, the Homerun and the Goalpost, with unit contribution margins of $4 and $15, respectively. Regardless of type, each team shirts must be fed through a stitching machine to affix the appropriate team logo. The firm leases seven machines that each provides 1,000 hours of machine time per year. Each Homerun shirt requires 6 minutes of machine time, and each Goalpost shirt requires 30 minutes of machine time.</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Assume that there are no other constraints.</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Required:</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xml:space="preserve">If required, </w:t>
      </w:r>
      <w:proofErr w:type="gramStart"/>
      <w:r w:rsidRPr="00641E86">
        <w:rPr>
          <w:rFonts w:ascii="Verdana" w:eastAsia="Times New Roman" w:hAnsi="Verdana" w:cs="Times New Roman"/>
          <w:color w:val="333333"/>
          <w:sz w:val="18"/>
          <w:szCs w:val="18"/>
        </w:rPr>
        <w:t>round</w:t>
      </w:r>
      <w:proofErr w:type="gramEnd"/>
      <w:r w:rsidRPr="00641E86">
        <w:rPr>
          <w:rFonts w:ascii="Verdana" w:eastAsia="Times New Roman" w:hAnsi="Verdana" w:cs="Times New Roman"/>
          <w:color w:val="333333"/>
          <w:sz w:val="18"/>
          <w:szCs w:val="18"/>
        </w:rPr>
        <w:t xml:space="preserve"> your answers to the nearest whole number. If an amount is zero, enter "0".</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1.  </w:t>
      </w:r>
      <w:r w:rsidRPr="00641E86">
        <w:rPr>
          <w:rFonts w:ascii="Verdana" w:eastAsia="Times New Roman" w:hAnsi="Verdana" w:cs="Times New Roman"/>
          <w:color w:val="333333"/>
          <w:sz w:val="18"/>
          <w:szCs w:val="18"/>
        </w:rPr>
        <w:t>What is the contribution margin per hour of machine time for each type of team shirts?</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140"/>
        <w:gridCol w:w="2610"/>
      </w:tblGrid>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Contribution Margin</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Homerun</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w:t>
            </w:r>
            <w:r w:rsidRPr="00641E86">
              <w:rPr>
                <w:rFonts w:ascii="Verdana" w:eastAsia="Times New Roman" w:hAnsi="Verdana" w:cs="Times New Roman"/>
                <w:color w:val="333333"/>
                <w:sz w:val="18"/>
                <w:szCs w:val="18"/>
              </w:rPr>
              <w:object w:dxaOrig="225" w:dyaOrig="225">
                <v:shape id="_x0000_i1166" type="#_x0000_t75" style="width:1in;height:18.6pt" o:ole="">
                  <v:imagedata r:id="rId5" o:title=""/>
                </v:shape>
                <w:control r:id="rId33" w:name="DefaultOcxName26" w:shapeid="_x0000_i1166"/>
              </w:objec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Goalpost</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w:t>
            </w:r>
            <w:r w:rsidRPr="00641E86">
              <w:rPr>
                <w:rFonts w:ascii="Verdana" w:eastAsia="Times New Roman" w:hAnsi="Verdana" w:cs="Times New Roman"/>
                <w:color w:val="333333"/>
                <w:sz w:val="18"/>
                <w:szCs w:val="18"/>
              </w:rPr>
              <w:object w:dxaOrig="225" w:dyaOrig="225">
                <v:shape id="_x0000_i1165" type="#_x0000_t75" style="width:1in;height:18.6pt" o:ole="">
                  <v:imagedata r:id="rId5" o:title=""/>
                </v:shape>
                <w:control r:id="rId34" w:name="DefaultOcxName110" w:shapeid="_x0000_i1165"/>
              </w:object>
            </w:r>
          </w:p>
        </w:tc>
      </w:tr>
    </w:tbl>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2.  </w:t>
      </w:r>
      <w:r w:rsidRPr="00641E86">
        <w:rPr>
          <w:rFonts w:ascii="Verdana" w:eastAsia="Times New Roman" w:hAnsi="Verdana" w:cs="Times New Roman"/>
          <w:color w:val="333333"/>
          <w:sz w:val="18"/>
          <w:szCs w:val="18"/>
        </w:rPr>
        <w:t>What is the optimal mix of team shirts?</w:t>
      </w:r>
    </w:p>
    <w:tbl>
      <w:tblPr>
        <w:tblW w:w="3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169"/>
        <w:gridCol w:w="2581"/>
      </w:tblGrid>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Optimal Mix</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Homerun</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object w:dxaOrig="225" w:dyaOrig="225">
                <v:shape id="_x0000_i1164" type="#_x0000_t75" style="width:1in;height:18.6pt" o:ole="">
                  <v:imagedata r:id="rId5" o:title=""/>
                </v:shape>
                <w:control r:id="rId35" w:name="DefaultOcxName25" w:shapeid="_x0000_i1164"/>
              </w:object>
            </w:r>
            <w:r w:rsidRPr="00641E86">
              <w:rPr>
                <w:rFonts w:ascii="Verdana" w:eastAsia="Times New Roman" w:hAnsi="Verdana" w:cs="Times New Roman"/>
                <w:color w:val="333333"/>
                <w:sz w:val="18"/>
                <w:szCs w:val="18"/>
              </w:rPr>
              <w:t> units</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Goalpost</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object w:dxaOrig="225" w:dyaOrig="225">
                <v:shape id="_x0000_i1163" type="#_x0000_t75" style="width:1in;height:18.6pt" o:ole="">
                  <v:imagedata r:id="rId5" o:title=""/>
                </v:shape>
                <w:control r:id="rId36" w:name="DefaultOcxName33" w:shapeid="_x0000_i1163"/>
              </w:object>
            </w:r>
            <w:r w:rsidRPr="00641E86">
              <w:rPr>
                <w:rFonts w:ascii="Verdana" w:eastAsia="Times New Roman" w:hAnsi="Verdana" w:cs="Times New Roman"/>
                <w:color w:val="333333"/>
                <w:sz w:val="18"/>
                <w:szCs w:val="18"/>
              </w:rPr>
              <w:t> units</w:t>
            </w:r>
          </w:p>
        </w:tc>
      </w:tr>
    </w:tbl>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3.  </w:t>
      </w:r>
      <w:r w:rsidRPr="00641E86">
        <w:rPr>
          <w:rFonts w:ascii="Verdana" w:eastAsia="Times New Roman" w:hAnsi="Verdana" w:cs="Times New Roman"/>
          <w:color w:val="333333"/>
          <w:sz w:val="18"/>
          <w:szCs w:val="18"/>
        </w:rPr>
        <w:t>What is the total contribution margin earned for the optimal mix?</w:t>
      </w:r>
      <w:r w:rsidRPr="00641E86">
        <w:rPr>
          <w:rFonts w:ascii="Verdana" w:eastAsia="Times New Roman" w:hAnsi="Verdana" w:cs="Times New Roman"/>
          <w:color w:val="333333"/>
          <w:sz w:val="18"/>
          <w:szCs w:val="18"/>
        </w:rPr>
        <w:br/>
        <w:t>$</w:t>
      </w:r>
      <w:r w:rsidRPr="00641E86">
        <w:rPr>
          <w:rFonts w:ascii="Verdana" w:eastAsia="Times New Roman" w:hAnsi="Verdana" w:cs="Times New Roman"/>
          <w:color w:val="333333"/>
          <w:sz w:val="18"/>
          <w:szCs w:val="18"/>
        </w:rPr>
        <w:object w:dxaOrig="225" w:dyaOrig="225">
          <v:shape id="_x0000_i1162" type="#_x0000_t75" style="width:1in;height:18.6pt" o:ole="">
            <v:imagedata r:id="rId5" o:title=""/>
          </v:shape>
          <w:control r:id="rId37" w:name="DefaultOcxName41" w:shapeid="_x0000_i1162"/>
        </w:object>
      </w:r>
    </w:p>
    <w:p w:rsidR="00641E86" w:rsidRDefault="00641E86" w:rsidP="00641E86">
      <w:pPr>
        <w:pStyle w:val="ListParagraph"/>
      </w:pPr>
    </w:p>
    <w:p w:rsidR="00641E86" w:rsidRPr="00641E86" w:rsidRDefault="00641E86" w:rsidP="00641E86">
      <w:pPr>
        <w:pStyle w:val="ListParagraph"/>
        <w:numPr>
          <w:ilvl w:val="0"/>
          <w:numId w:val="6"/>
        </w:numPr>
        <w:shd w:val="clear" w:color="auto" w:fill="FFFFFF"/>
        <w:spacing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Determining the Optimal Product Mix with One Constrained Resource and a Sales Constraint</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lastRenderedPageBreak/>
        <w:t>Casual Essentials, Inc. manufactures two types of team shirts, the Homerun and the Goalpost, with unit contribution margins of $5 and $15, respectively. Regardless of type, each team shirts must be fed through a stitching machine to affix the appropriate team logo. The firm leases seven machines that each provides 1,000 hours of machine time per year. Each Homerun shirt requires 6 minutes of machine time, and each Goalpost shirt requires 30 minutes of machine time.</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Assume that a maximum of 49,880 units of each team shirts can be sold.</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Required:</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xml:space="preserve">If required, </w:t>
      </w:r>
      <w:proofErr w:type="gramStart"/>
      <w:r w:rsidRPr="00641E86">
        <w:rPr>
          <w:rFonts w:ascii="Verdana" w:eastAsia="Times New Roman" w:hAnsi="Verdana" w:cs="Times New Roman"/>
          <w:color w:val="333333"/>
          <w:sz w:val="18"/>
          <w:szCs w:val="18"/>
        </w:rPr>
        <w:t>round</w:t>
      </w:r>
      <w:proofErr w:type="gramEnd"/>
      <w:r w:rsidRPr="00641E86">
        <w:rPr>
          <w:rFonts w:ascii="Verdana" w:eastAsia="Times New Roman" w:hAnsi="Verdana" w:cs="Times New Roman"/>
          <w:color w:val="333333"/>
          <w:sz w:val="18"/>
          <w:szCs w:val="18"/>
        </w:rPr>
        <w:t xml:space="preserve"> your answers to the nearest whole number.</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1.  </w:t>
      </w:r>
      <w:r w:rsidRPr="00641E86">
        <w:rPr>
          <w:rFonts w:ascii="Verdana" w:eastAsia="Times New Roman" w:hAnsi="Verdana" w:cs="Times New Roman"/>
          <w:color w:val="333333"/>
          <w:sz w:val="18"/>
          <w:szCs w:val="18"/>
        </w:rPr>
        <w:t>What is the contribution margin per hour of machine time for each type of team shirts?</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368"/>
        <w:gridCol w:w="3132"/>
      </w:tblGrid>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Contribution Margin</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Homerun</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w:t>
            </w:r>
            <w:r w:rsidRPr="00641E86">
              <w:rPr>
                <w:rFonts w:ascii="Verdana" w:eastAsia="Times New Roman" w:hAnsi="Verdana" w:cs="Times New Roman"/>
                <w:color w:val="333333"/>
                <w:sz w:val="18"/>
                <w:szCs w:val="18"/>
              </w:rPr>
              <w:object w:dxaOrig="225" w:dyaOrig="225">
                <v:shape id="_x0000_i1181" type="#_x0000_t75" style="width:1in;height:18.6pt" o:ole="">
                  <v:imagedata r:id="rId5" o:title=""/>
                </v:shape>
                <w:control r:id="rId38" w:name="DefaultOcxName28" w:shapeid="_x0000_i1181"/>
              </w:objec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Goalpost</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w:t>
            </w:r>
            <w:r w:rsidRPr="00641E86">
              <w:rPr>
                <w:rFonts w:ascii="Verdana" w:eastAsia="Times New Roman" w:hAnsi="Verdana" w:cs="Times New Roman"/>
                <w:color w:val="333333"/>
                <w:sz w:val="18"/>
                <w:szCs w:val="18"/>
              </w:rPr>
              <w:object w:dxaOrig="225" w:dyaOrig="225">
                <v:shape id="_x0000_i1180" type="#_x0000_t75" style="width:1in;height:18.6pt" o:ole="">
                  <v:imagedata r:id="rId5" o:title=""/>
                </v:shape>
                <w:control r:id="rId39" w:name="DefaultOcxName111" w:shapeid="_x0000_i1180"/>
              </w:object>
            </w:r>
          </w:p>
        </w:tc>
      </w:tr>
    </w:tbl>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2.  </w:t>
      </w:r>
      <w:r w:rsidRPr="00641E86">
        <w:rPr>
          <w:rFonts w:ascii="Verdana" w:eastAsia="Times New Roman" w:hAnsi="Verdana" w:cs="Times New Roman"/>
          <w:color w:val="333333"/>
          <w:sz w:val="18"/>
          <w:szCs w:val="18"/>
        </w:rPr>
        <w:t>What is the optimal mix of team shirts?</w:t>
      </w:r>
    </w:p>
    <w:tbl>
      <w:tblPr>
        <w:tblW w:w="450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403"/>
        <w:gridCol w:w="3097"/>
      </w:tblGrid>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Optimal Mix</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Homerun</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object w:dxaOrig="225" w:dyaOrig="225">
                <v:shape id="_x0000_i1179" type="#_x0000_t75" style="width:1in;height:18.6pt" o:ole="">
                  <v:imagedata r:id="rId5" o:title=""/>
                </v:shape>
                <w:control r:id="rId40" w:name="DefaultOcxName27" w:shapeid="_x0000_i1179"/>
              </w:object>
            </w:r>
            <w:r w:rsidRPr="00641E86">
              <w:rPr>
                <w:rFonts w:ascii="Verdana" w:eastAsia="Times New Roman" w:hAnsi="Verdana" w:cs="Times New Roman"/>
                <w:color w:val="333333"/>
                <w:sz w:val="18"/>
                <w:szCs w:val="18"/>
              </w:rPr>
              <w:t> units</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Goalpost</w:t>
            </w:r>
          </w:p>
        </w:tc>
        <w:tc>
          <w:tcPr>
            <w:tcW w:w="0" w:type="auto"/>
            <w:shd w:val="clear" w:color="auto" w:fill="FFFFFF"/>
            <w:vAlign w:val="center"/>
            <w:hideMark/>
          </w:tcPr>
          <w:p w:rsidR="00641E86" w:rsidRPr="00641E86" w:rsidRDefault="00641E86" w:rsidP="00641E86">
            <w:pPr>
              <w:spacing w:after="0" w:line="360" w:lineRule="atLeast"/>
              <w:jc w:val="center"/>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object w:dxaOrig="225" w:dyaOrig="225">
                <v:shape id="_x0000_i1178" type="#_x0000_t75" style="width:1in;height:18.6pt" o:ole="">
                  <v:imagedata r:id="rId5" o:title=""/>
                </v:shape>
                <w:control r:id="rId41" w:name="DefaultOcxName34" w:shapeid="_x0000_i1178"/>
              </w:object>
            </w:r>
            <w:r w:rsidRPr="00641E86">
              <w:rPr>
                <w:rFonts w:ascii="Verdana" w:eastAsia="Times New Roman" w:hAnsi="Verdana" w:cs="Times New Roman"/>
                <w:color w:val="333333"/>
                <w:sz w:val="18"/>
                <w:szCs w:val="18"/>
              </w:rPr>
              <w:t> units</w:t>
            </w:r>
          </w:p>
        </w:tc>
      </w:tr>
    </w:tbl>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3.  </w:t>
      </w:r>
      <w:r w:rsidRPr="00641E86">
        <w:rPr>
          <w:rFonts w:ascii="Verdana" w:eastAsia="Times New Roman" w:hAnsi="Verdana" w:cs="Times New Roman"/>
          <w:color w:val="333333"/>
          <w:sz w:val="18"/>
          <w:szCs w:val="18"/>
        </w:rPr>
        <w:t>What is the total contribution margin earned for the optimal mix?</w:t>
      </w:r>
      <w:r w:rsidRPr="00641E86">
        <w:rPr>
          <w:rFonts w:ascii="Verdana" w:eastAsia="Times New Roman" w:hAnsi="Verdana" w:cs="Times New Roman"/>
          <w:color w:val="333333"/>
          <w:sz w:val="18"/>
          <w:szCs w:val="18"/>
        </w:rPr>
        <w:br/>
        <w:t>$</w:t>
      </w:r>
      <w:r w:rsidRPr="00641E86">
        <w:rPr>
          <w:rFonts w:ascii="Verdana" w:eastAsia="Times New Roman" w:hAnsi="Verdana" w:cs="Times New Roman"/>
          <w:color w:val="333333"/>
          <w:sz w:val="18"/>
          <w:szCs w:val="18"/>
        </w:rPr>
        <w:object w:dxaOrig="225" w:dyaOrig="225">
          <v:shape id="_x0000_i1177" type="#_x0000_t75" style="width:1in;height:18.6pt" o:ole="">
            <v:imagedata r:id="rId5" o:title=""/>
          </v:shape>
          <w:control r:id="rId42" w:name="DefaultOcxName42" w:shapeid="_x0000_i1177"/>
        </w:object>
      </w:r>
    </w:p>
    <w:p w:rsidR="00641E86" w:rsidRPr="00641E86" w:rsidRDefault="00641E86" w:rsidP="00641E86">
      <w:pPr>
        <w:shd w:val="clear" w:color="auto" w:fill="FFFFFF"/>
        <w:spacing w:after="100" w:afterAutospacing="1" w:line="360" w:lineRule="atLeast"/>
        <w:rPr>
          <w:rFonts w:ascii="Verdana" w:eastAsia="Times New Roman" w:hAnsi="Verdana" w:cs="Times New Roman"/>
          <w:color w:val="333333"/>
          <w:sz w:val="18"/>
          <w:szCs w:val="18"/>
        </w:rPr>
      </w:pPr>
      <w:r>
        <w:rPr>
          <w:rFonts w:ascii="Verdana" w:eastAsia="Times New Roman" w:hAnsi="Verdana" w:cs="Times New Roman"/>
          <w:color w:val="333333"/>
          <w:sz w:val="18"/>
          <w:szCs w:val="18"/>
        </w:rPr>
        <w:t xml:space="preserve">8. </w:t>
      </w:r>
      <w:r w:rsidRPr="00641E86">
        <w:rPr>
          <w:rFonts w:ascii="Verdana" w:eastAsia="Times New Roman" w:hAnsi="Verdana" w:cs="Times New Roman"/>
          <w:color w:val="333333"/>
          <w:sz w:val="18"/>
          <w:szCs w:val="18"/>
        </w:rPr>
        <w:t>Calculating Price by Applying a Markup Percentage to Cost</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The J. Escobar Law Firm provides various legal services to organizations. J. Escobar has decided to price its jobs at the total variable costs of the job plus 15.1 percent. The job for a medium-sized dance club client included the following costs:</w:t>
      </w:r>
    </w:p>
    <w:tbl>
      <w:tblPr>
        <w:tblW w:w="6750" w:type="dxa"/>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250"/>
        <w:gridCol w:w="1500"/>
      </w:tblGrid>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Direct materials</w:t>
            </w:r>
          </w:p>
        </w:tc>
        <w:tc>
          <w:tcPr>
            <w:tcW w:w="1500" w:type="dxa"/>
            <w:shd w:val="clear" w:color="auto" w:fill="FFFFFF"/>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$ 5,000</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Direct labor (partners and staff accountants)</w:t>
            </w:r>
          </w:p>
        </w:tc>
        <w:tc>
          <w:tcPr>
            <w:tcW w:w="0" w:type="auto"/>
            <w:shd w:val="clear" w:color="auto" w:fill="FFFFFF"/>
            <w:vAlign w:val="center"/>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90,000</w:t>
            </w:r>
          </w:p>
        </w:tc>
      </w:tr>
      <w:tr w:rsidR="00641E86" w:rsidRPr="00641E86" w:rsidTr="00641E86">
        <w:trPr>
          <w:tblCellSpacing w:w="0" w:type="dxa"/>
        </w:trPr>
        <w:tc>
          <w:tcPr>
            <w:tcW w:w="0" w:type="auto"/>
            <w:shd w:val="clear" w:color="auto" w:fill="FFFFFF"/>
            <w:vAlign w:val="center"/>
            <w:hideMark/>
          </w:tcPr>
          <w:p w:rsidR="00641E86" w:rsidRPr="00641E86" w:rsidRDefault="00641E86" w:rsidP="00641E86">
            <w:pPr>
              <w:spacing w:after="0"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lastRenderedPageBreak/>
              <w:t>Depreciation (using straight-line method) on</w:t>
            </w:r>
            <w:r w:rsidRPr="00641E86">
              <w:rPr>
                <w:rFonts w:ascii="Verdana" w:eastAsia="Times New Roman" w:hAnsi="Verdana" w:cs="Times New Roman"/>
                <w:color w:val="333333"/>
                <w:sz w:val="18"/>
                <w:szCs w:val="18"/>
              </w:rPr>
              <w:br/>
              <w:t>    Integrity’s office building</w:t>
            </w:r>
          </w:p>
        </w:tc>
        <w:tc>
          <w:tcPr>
            <w:tcW w:w="0" w:type="auto"/>
            <w:shd w:val="clear" w:color="auto" w:fill="FFFFFF"/>
            <w:vAlign w:val="bottom"/>
            <w:hideMark/>
          </w:tcPr>
          <w:p w:rsidR="00641E86" w:rsidRPr="00641E86" w:rsidRDefault="00641E86" w:rsidP="00641E86">
            <w:pPr>
              <w:spacing w:after="0" w:line="360" w:lineRule="atLeast"/>
              <w:jc w:val="righ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50,000</w:t>
            </w:r>
          </w:p>
        </w:tc>
      </w:tr>
    </w:tbl>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b/>
          <w:bCs/>
          <w:color w:val="333333"/>
          <w:sz w:val="18"/>
          <w:szCs w:val="18"/>
        </w:rPr>
        <w:t>Required:</w:t>
      </w:r>
    </w:p>
    <w:p w:rsidR="00641E86" w:rsidRPr="00641E86" w:rsidRDefault="00641E86" w:rsidP="00641E86">
      <w:pPr>
        <w:shd w:val="clear" w:color="auto" w:fill="FFFFFF"/>
        <w:spacing w:before="100" w:beforeAutospacing="1" w:after="100" w:afterAutospacing="1" w:line="360" w:lineRule="atLeast"/>
        <w:rPr>
          <w:rFonts w:ascii="Verdana" w:eastAsia="Times New Roman" w:hAnsi="Verdana" w:cs="Times New Roman"/>
          <w:color w:val="333333"/>
          <w:sz w:val="18"/>
          <w:szCs w:val="18"/>
        </w:rPr>
      </w:pPr>
      <w:r w:rsidRPr="00641E86">
        <w:rPr>
          <w:rFonts w:ascii="Verdana" w:eastAsia="Times New Roman" w:hAnsi="Verdana" w:cs="Times New Roman"/>
          <w:color w:val="333333"/>
          <w:sz w:val="18"/>
          <w:szCs w:val="18"/>
        </w:rPr>
        <w:t>Calculate the price charged by The J. Escobar Law Firm to the dance club. If required, round to the nearest dollar.</w:t>
      </w:r>
      <w:r w:rsidRPr="00641E86">
        <w:rPr>
          <w:rFonts w:ascii="Verdana" w:eastAsia="Times New Roman" w:hAnsi="Verdana" w:cs="Times New Roman"/>
          <w:color w:val="333333"/>
          <w:sz w:val="18"/>
          <w:szCs w:val="18"/>
        </w:rPr>
        <w:br/>
        <w:t>$</w:t>
      </w:r>
      <w:r w:rsidRPr="00641E86">
        <w:rPr>
          <w:rFonts w:ascii="Verdana" w:eastAsia="Times New Roman" w:hAnsi="Verdana" w:cs="Times New Roman"/>
          <w:color w:val="333333"/>
          <w:sz w:val="18"/>
          <w:szCs w:val="18"/>
        </w:rPr>
        <w:object w:dxaOrig="225" w:dyaOrig="225">
          <v:shape id="_x0000_i1184" type="#_x0000_t75" style="width:1in;height:18.6pt" o:ole="">
            <v:imagedata r:id="rId5" o:title=""/>
          </v:shape>
          <w:control r:id="rId43" w:name="DefaultOcxName29" w:shapeid="_x0000_i1184"/>
        </w:object>
      </w:r>
    </w:p>
    <w:p w:rsidR="00641E86" w:rsidRDefault="00641E86" w:rsidP="00641E86">
      <w:pPr>
        <w:pStyle w:val="NormalWeb"/>
        <w:numPr>
          <w:ilvl w:val="0"/>
          <w:numId w:val="8"/>
        </w:numPr>
        <w:shd w:val="clear" w:color="auto" w:fill="FFFFFF"/>
        <w:spacing w:before="0" w:beforeAutospacing="0" w:line="360" w:lineRule="atLeast"/>
        <w:rPr>
          <w:rFonts w:ascii="Verdana" w:hAnsi="Verdana"/>
          <w:color w:val="333333"/>
          <w:sz w:val="18"/>
          <w:szCs w:val="18"/>
        </w:rPr>
      </w:pPr>
      <w:bookmarkStart w:id="0" w:name="_GoBack"/>
      <w:bookmarkEnd w:id="0"/>
      <w:r>
        <w:rPr>
          <w:rFonts w:ascii="Verdana" w:hAnsi="Verdana"/>
          <w:color w:val="333333"/>
          <w:sz w:val="18"/>
          <w:szCs w:val="18"/>
        </w:rPr>
        <w:t>Calculating a Target Cost</w:t>
      </w:r>
    </w:p>
    <w:p w:rsidR="00641E86" w:rsidRDefault="00641E86" w:rsidP="00641E86">
      <w:pPr>
        <w:pStyle w:val="NormalWeb"/>
        <w:shd w:val="clear" w:color="auto" w:fill="FFFFFF"/>
        <w:spacing w:line="360" w:lineRule="atLeast"/>
        <w:rPr>
          <w:rFonts w:ascii="Verdana" w:hAnsi="Verdana"/>
          <w:color w:val="333333"/>
          <w:sz w:val="18"/>
          <w:szCs w:val="18"/>
        </w:rPr>
      </w:pPr>
      <w:r>
        <w:rPr>
          <w:rFonts w:ascii="Verdana" w:hAnsi="Verdana"/>
          <w:color w:val="333333"/>
          <w:sz w:val="18"/>
          <w:szCs w:val="18"/>
        </w:rPr>
        <w:t>RU Listening manufactures cell phones and is developing a new model with a feature (targeted at parents of teens) that prevents the phone from dialing an owner-defined list of phone numbers between the hours of midnight and 6:00 a.m. The new phone model has a target price of $330. Management requires a 10% profit on new product revenues.</w:t>
      </w:r>
    </w:p>
    <w:p w:rsidR="00641E86" w:rsidRDefault="00641E86" w:rsidP="00641E86">
      <w:pPr>
        <w:pStyle w:val="NormalWeb"/>
        <w:shd w:val="clear" w:color="auto" w:fill="FFFFFF"/>
        <w:spacing w:line="360" w:lineRule="atLeast"/>
        <w:rPr>
          <w:rFonts w:ascii="Verdana" w:hAnsi="Verdana"/>
          <w:color w:val="333333"/>
          <w:sz w:val="18"/>
          <w:szCs w:val="18"/>
        </w:rPr>
      </w:pPr>
      <w:r>
        <w:rPr>
          <w:rStyle w:val="Strong"/>
          <w:rFonts w:ascii="Verdana" w:hAnsi="Verdana"/>
          <w:color w:val="333333"/>
          <w:sz w:val="18"/>
          <w:szCs w:val="18"/>
        </w:rPr>
        <w:t>Required:</w:t>
      </w:r>
    </w:p>
    <w:p w:rsidR="00641E86" w:rsidRDefault="00641E86" w:rsidP="00641E86">
      <w:pPr>
        <w:pStyle w:val="NormalWeb"/>
        <w:shd w:val="clear" w:color="auto" w:fill="FFFFFF"/>
        <w:spacing w:line="360" w:lineRule="atLeast"/>
        <w:rPr>
          <w:rFonts w:ascii="Verdana" w:hAnsi="Verdana"/>
          <w:color w:val="333333"/>
          <w:sz w:val="18"/>
          <w:szCs w:val="18"/>
        </w:rPr>
      </w:pPr>
      <w:r>
        <w:rPr>
          <w:rFonts w:ascii="Verdana" w:hAnsi="Verdana"/>
          <w:color w:val="333333"/>
          <w:sz w:val="18"/>
          <w:szCs w:val="18"/>
        </w:rPr>
        <w:t>If required, round to the nearest dollar.</w:t>
      </w:r>
    </w:p>
    <w:p w:rsidR="00641E86" w:rsidRDefault="00641E86" w:rsidP="00641E86">
      <w:pPr>
        <w:pStyle w:val="NormalWeb"/>
        <w:shd w:val="clear" w:color="auto" w:fill="FFFFFF"/>
        <w:spacing w:before="0" w:after="0" w:line="360" w:lineRule="atLeast"/>
        <w:rPr>
          <w:rFonts w:ascii="Verdana" w:hAnsi="Verdana"/>
          <w:color w:val="333333"/>
          <w:sz w:val="18"/>
          <w:szCs w:val="18"/>
        </w:rPr>
      </w:pPr>
      <w:r>
        <w:rPr>
          <w:rStyle w:val="Strong"/>
          <w:rFonts w:ascii="Verdana" w:hAnsi="Verdana"/>
          <w:color w:val="333333"/>
          <w:sz w:val="18"/>
          <w:szCs w:val="18"/>
        </w:rPr>
        <w:t>1.  </w:t>
      </w:r>
      <w:r>
        <w:rPr>
          <w:rFonts w:ascii="Verdana" w:hAnsi="Verdana"/>
          <w:color w:val="333333"/>
          <w:sz w:val="18"/>
          <w:szCs w:val="18"/>
        </w:rPr>
        <w:t>Calculate the amount of desired profit.</w:t>
      </w:r>
      <w:r>
        <w:rPr>
          <w:rFonts w:ascii="Verdana" w:hAnsi="Verdana"/>
          <w:color w:val="333333"/>
          <w:sz w:val="18"/>
          <w:szCs w:val="18"/>
        </w:rPr>
        <w:br/>
        <w:t>$</w:t>
      </w:r>
      <w:r>
        <w:rPr>
          <w:rFonts w:ascii="Verdana" w:hAnsi="Verdana"/>
          <w:color w:val="333333"/>
          <w:sz w:val="18"/>
          <w:szCs w:val="18"/>
        </w:rPr>
        <w:object w:dxaOrig="225" w:dyaOrig="225">
          <v:shape id="_x0000_i1190" type="#_x0000_t75" style="width:1in;height:18.6pt" o:ole="">
            <v:imagedata r:id="rId5" o:title=""/>
          </v:shape>
          <w:control r:id="rId44" w:name="DefaultOcxName30" w:shapeid="_x0000_i1190"/>
        </w:object>
      </w:r>
    </w:p>
    <w:p w:rsidR="00641E86" w:rsidRDefault="00641E86" w:rsidP="00641E86">
      <w:pPr>
        <w:pStyle w:val="NormalWeb"/>
        <w:shd w:val="clear" w:color="auto" w:fill="FFFFFF"/>
        <w:spacing w:line="360" w:lineRule="atLeast"/>
        <w:rPr>
          <w:rFonts w:ascii="Verdana" w:hAnsi="Verdana"/>
          <w:color w:val="333333"/>
          <w:sz w:val="18"/>
          <w:szCs w:val="18"/>
        </w:rPr>
      </w:pPr>
      <w:r>
        <w:rPr>
          <w:rStyle w:val="Strong"/>
          <w:rFonts w:ascii="Verdana" w:hAnsi="Verdana"/>
          <w:color w:val="333333"/>
          <w:sz w:val="18"/>
          <w:szCs w:val="18"/>
        </w:rPr>
        <w:t>2.  </w:t>
      </w:r>
      <w:r>
        <w:rPr>
          <w:rFonts w:ascii="Verdana" w:hAnsi="Verdana"/>
          <w:color w:val="333333"/>
          <w:sz w:val="18"/>
          <w:szCs w:val="18"/>
        </w:rPr>
        <w:t>Calculate the target cost.</w:t>
      </w:r>
      <w:r>
        <w:rPr>
          <w:rFonts w:ascii="Verdana" w:hAnsi="Verdana"/>
          <w:color w:val="333333"/>
          <w:sz w:val="18"/>
          <w:szCs w:val="18"/>
        </w:rPr>
        <w:br/>
        <w:t>$</w:t>
      </w:r>
      <w:r>
        <w:rPr>
          <w:rFonts w:ascii="Verdana" w:hAnsi="Verdana"/>
          <w:color w:val="333333"/>
          <w:sz w:val="18"/>
          <w:szCs w:val="18"/>
        </w:rPr>
        <w:object w:dxaOrig="225" w:dyaOrig="225">
          <v:shape id="_x0000_i1189" type="#_x0000_t75" style="width:1in;height:18.6pt" o:ole="">
            <v:imagedata r:id="rId5" o:title=""/>
          </v:shape>
          <w:control r:id="rId45" w:name="DefaultOcxName112" w:shapeid="_x0000_i1189"/>
        </w:object>
      </w:r>
    </w:p>
    <w:p w:rsidR="00641E86" w:rsidRDefault="00641E86" w:rsidP="00641E86">
      <w:pPr>
        <w:pStyle w:val="ListParagraph"/>
      </w:pPr>
    </w:p>
    <w:sectPr w:rsidR="0064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86B"/>
    <w:multiLevelType w:val="multilevel"/>
    <w:tmpl w:val="4A08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D6840"/>
    <w:multiLevelType w:val="hybridMultilevel"/>
    <w:tmpl w:val="9A7E465C"/>
    <w:lvl w:ilvl="0" w:tplc="8F007406">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A4FC2"/>
    <w:multiLevelType w:val="multilevel"/>
    <w:tmpl w:val="2B6E8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7B6185"/>
    <w:multiLevelType w:val="hybridMultilevel"/>
    <w:tmpl w:val="D2C8D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F2F02"/>
    <w:multiLevelType w:val="hybridMultilevel"/>
    <w:tmpl w:val="C898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F1B3E"/>
    <w:multiLevelType w:val="hybridMultilevel"/>
    <w:tmpl w:val="BBDA1B1C"/>
    <w:lvl w:ilvl="0" w:tplc="EFA2BDB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B33BDA"/>
    <w:multiLevelType w:val="multilevel"/>
    <w:tmpl w:val="AD98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6D3197"/>
    <w:multiLevelType w:val="multilevel"/>
    <w:tmpl w:val="3626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72"/>
    <w:rsid w:val="00491272"/>
    <w:rsid w:val="00641E86"/>
    <w:rsid w:val="0085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6358"/>
  <w15:chartTrackingRefBased/>
  <w15:docId w15:val="{E683A502-8272-4FB7-BD5F-47B4180B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272"/>
    <w:pPr>
      <w:ind w:left="720"/>
      <w:contextualSpacing/>
    </w:pPr>
  </w:style>
  <w:style w:type="paragraph" w:styleId="NormalWeb">
    <w:name w:val="Normal (Web)"/>
    <w:basedOn w:val="Normal"/>
    <w:uiPriority w:val="99"/>
    <w:semiHidden/>
    <w:unhideWhenUsed/>
    <w:rsid w:val="00491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272"/>
    <w:rPr>
      <w:b/>
      <w:bCs/>
    </w:rPr>
  </w:style>
  <w:style w:type="character" w:customStyle="1" w:styleId="ci-select-control">
    <w:name w:val="ci-select-control"/>
    <w:basedOn w:val="DefaultParagraphFont"/>
    <w:rsid w:val="00491272"/>
  </w:style>
  <w:style w:type="character" w:customStyle="1" w:styleId="remainingitemattempts">
    <w:name w:val="remainingitemattempts"/>
    <w:basedOn w:val="DefaultParagraphFont"/>
    <w:rsid w:val="00491272"/>
  </w:style>
  <w:style w:type="character" w:customStyle="1" w:styleId="apple-converted-space">
    <w:name w:val="apple-converted-space"/>
    <w:basedOn w:val="DefaultParagraphFont"/>
    <w:rsid w:val="00491272"/>
  </w:style>
  <w:style w:type="paragraph" w:customStyle="1" w:styleId="narrative3">
    <w:name w:val="narrative3"/>
    <w:basedOn w:val="Normal"/>
    <w:rsid w:val="00641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7828">
      <w:bodyDiv w:val="1"/>
      <w:marLeft w:val="0"/>
      <w:marRight w:val="0"/>
      <w:marTop w:val="0"/>
      <w:marBottom w:val="0"/>
      <w:divBdr>
        <w:top w:val="none" w:sz="0" w:space="0" w:color="auto"/>
        <w:left w:val="none" w:sz="0" w:space="0" w:color="auto"/>
        <w:bottom w:val="none" w:sz="0" w:space="0" w:color="auto"/>
        <w:right w:val="none" w:sz="0" w:space="0" w:color="auto"/>
      </w:divBdr>
    </w:div>
    <w:div w:id="91515541">
      <w:bodyDiv w:val="1"/>
      <w:marLeft w:val="0"/>
      <w:marRight w:val="0"/>
      <w:marTop w:val="0"/>
      <w:marBottom w:val="0"/>
      <w:divBdr>
        <w:top w:val="none" w:sz="0" w:space="0" w:color="auto"/>
        <w:left w:val="none" w:sz="0" w:space="0" w:color="auto"/>
        <w:bottom w:val="none" w:sz="0" w:space="0" w:color="auto"/>
        <w:right w:val="none" w:sz="0" w:space="0" w:color="auto"/>
      </w:divBdr>
    </w:div>
    <w:div w:id="101338448">
      <w:bodyDiv w:val="1"/>
      <w:marLeft w:val="0"/>
      <w:marRight w:val="0"/>
      <w:marTop w:val="0"/>
      <w:marBottom w:val="0"/>
      <w:divBdr>
        <w:top w:val="none" w:sz="0" w:space="0" w:color="auto"/>
        <w:left w:val="none" w:sz="0" w:space="0" w:color="auto"/>
        <w:bottom w:val="none" w:sz="0" w:space="0" w:color="auto"/>
        <w:right w:val="none" w:sz="0" w:space="0" w:color="auto"/>
      </w:divBdr>
      <w:divsChild>
        <w:div w:id="1962682026">
          <w:marLeft w:val="0"/>
          <w:marRight w:val="0"/>
          <w:marTop w:val="0"/>
          <w:marBottom w:val="0"/>
          <w:divBdr>
            <w:top w:val="none" w:sz="0" w:space="0" w:color="auto"/>
            <w:left w:val="none" w:sz="0" w:space="0" w:color="auto"/>
            <w:bottom w:val="none" w:sz="0" w:space="0" w:color="auto"/>
            <w:right w:val="none" w:sz="0" w:space="0" w:color="auto"/>
          </w:divBdr>
          <w:divsChild>
            <w:div w:id="1736969246">
              <w:marLeft w:val="45"/>
              <w:marRight w:val="0"/>
              <w:marTop w:val="0"/>
              <w:marBottom w:val="300"/>
              <w:divBdr>
                <w:top w:val="none" w:sz="0" w:space="0" w:color="auto"/>
                <w:left w:val="none" w:sz="0" w:space="0" w:color="auto"/>
                <w:bottom w:val="none" w:sz="0" w:space="0" w:color="auto"/>
                <w:right w:val="none" w:sz="0" w:space="0" w:color="auto"/>
              </w:divBdr>
              <w:divsChild>
                <w:div w:id="208807384">
                  <w:marLeft w:val="0"/>
                  <w:marRight w:val="0"/>
                  <w:marTop w:val="0"/>
                  <w:marBottom w:val="0"/>
                  <w:divBdr>
                    <w:top w:val="none" w:sz="0" w:space="0" w:color="auto"/>
                    <w:left w:val="none" w:sz="0" w:space="0" w:color="auto"/>
                    <w:bottom w:val="none" w:sz="0" w:space="0" w:color="auto"/>
                    <w:right w:val="none" w:sz="0" w:space="0" w:color="auto"/>
                  </w:divBdr>
                  <w:divsChild>
                    <w:div w:id="1302610108">
                      <w:marLeft w:val="0"/>
                      <w:marRight w:val="0"/>
                      <w:marTop w:val="0"/>
                      <w:marBottom w:val="75"/>
                      <w:divBdr>
                        <w:top w:val="none" w:sz="0" w:space="0" w:color="auto"/>
                        <w:left w:val="none" w:sz="0" w:space="0" w:color="auto"/>
                        <w:bottom w:val="none" w:sz="0" w:space="0" w:color="auto"/>
                        <w:right w:val="none" w:sz="0" w:space="0" w:color="auto"/>
                      </w:divBdr>
                      <w:divsChild>
                        <w:div w:id="2951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3193">
          <w:marLeft w:val="0"/>
          <w:marRight w:val="0"/>
          <w:marTop w:val="0"/>
          <w:marBottom w:val="0"/>
          <w:divBdr>
            <w:top w:val="none" w:sz="0" w:space="0" w:color="auto"/>
            <w:left w:val="none" w:sz="0" w:space="0" w:color="auto"/>
            <w:bottom w:val="none" w:sz="0" w:space="0" w:color="auto"/>
            <w:right w:val="none" w:sz="0" w:space="0" w:color="auto"/>
          </w:divBdr>
          <w:divsChild>
            <w:div w:id="720713990">
              <w:marLeft w:val="0"/>
              <w:marRight w:val="0"/>
              <w:marTop w:val="0"/>
              <w:marBottom w:val="0"/>
              <w:divBdr>
                <w:top w:val="none" w:sz="0" w:space="0" w:color="auto"/>
                <w:left w:val="none" w:sz="0" w:space="0" w:color="auto"/>
                <w:bottom w:val="none" w:sz="0" w:space="0" w:color="auto"/>
                <w:right w:val="none" w:sz="0" w:space="0" w:color="auto"/>
              </w:divBdr>
              <w:divsChild>
                <w:div w:id="14556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6356">
      <w:bodyDiv w:val="1"/>
      <w:marLeft w:val="0"/>
      <w:marRight w:val="0"/>
      <w:marTop w:val="0"/>
      <w:marBottom w:val="0"/>
      <w:divBdr>
        <w:top w:val="none" w:sz="0" w:space="0" w:color="auto"/>
        <w:left w:val="none" w:sz="0" w:space="0" w:color="auto"/>
        <w:bottom w:val="none" w:sz="0" w:space="0" w:color="auto"/>
        <w:right w:val="none" w:sz="0" w:space="0" w:color="auto"/>
      </w:divBdr>
    </w:div>
    <w:div w:id="193419563">
      <w:bodyDiv w:val="1"/>
      <w:marLeft w:val="0"/>
      <w:marRight w:val="0"/>
      <w:marTop w:val="0"/>
      <w:marBottom w:val="0"/>
      <w:divBdr>
        <w:top w:val="none" w:sz="0" w:space="0" w:color="auto"/>
        <w:left w:val="none" w:sz="0" w:space="0" w:color="auto"/>
        <w:bottom w:val="none" w:sz="0" w:space="0" w:color="auto"/>
        <w:right w:val="none" w:sz="0" w:space="0" w:color="auto"/>
      </w:divBdr>
      <w:divsChild>
        <w:div w:id="872613385">
          <w:marLeft w:val="0"/>
          <w:marRight w:val="0"/>
          <w:marTop w:val="0"/>
          <w:marBottom w:val="0"/>
          <w:divBdr>
            <w:top w:val="none" w:sz="0" w:space="0" w:color="auto"/>
            <w:left w:val="none" w:sz="0" w:space="0" w:color="auto"/>
            <w:bottom w:val="none" w:sz="0" w:space="0" w:color="auto"/>
            <w:right w:val="none" w:sz="0" w:space="0" w:color="auto"/>
          </w:divBdr>
          <w:divsChild>
            <w:div w:id="168180254">
              <w:marLeft w:val="45"/>
              <w:marRight w:val="0"/>
              <w:marTop w:val="0"/>
              <w:marBottom w:val="300"/>
              <w:divBdr>
                <w:top w:val="none" w:sz="0" w:space="0" w:color="auto"/>
                <w:left w:val="none" w:sz="0" w:space="0" w:color="auto"/>
                <w:bottom w:val="none" w:sz="0" w:space="0" w:color="auto"/>
                <w:right w:val="none" w:sz="0" w:space="0" w:color="auto"/>
              </w:divBdr>
              <w:divsChild>
                <w:div w:id="940183233">
                  <w:marLeft w:val="0"/>
                  <w:marRight w:val="0"/>
                  <w:marTop w:val="0"/>
                  <w:marBottom w:val="0"/>
                  <w:divBdr>
                    <w:top w:val="none" w:sz="0" w:space="0" w:color="auto"/>
                    <w:left w:val="none" w:sz="0" w:space="0" w:color="auto"/>
                    <w:bottom w:val="none" w:sz="0" w:space="0" w:color="auto"/>
                    <w:right w:val="none" w:sz="0" w:space="0" w:color="auto"/>
                  </w:divBdr>
                  <w:divsChild>
                    <w:div w:id="1758211744">
                      <w:marLeft w:val="0"/>
                      <w:marRight w:val="0"/>
                      <w:marTop w:val="0"/>
                      <w:marBottom w:val="75"/>
                      <w:divBdr>
                        <w:top w:val="none" w:sz="0" w:space="0" w:color="auto"/>
                        <w:left w:val="none" w:sz="0" w:space="0" w:color="auto"/>
                        <w:bottom w:val="none" w:sz="0" w:space="0" w:color="auto"/>
                        <w:right w:val="none" w:sz="0" w:space="0" w:color="auto"/>
                      </w:divBdr>
                      <w:divsChild>
                        <w:div w:id="13362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69607">
          <w:marLeft w:val="0"/>
          <w:marRight w:val="0"/>
          <w:marTop w:val="0"/>
          <w:marBottom w:val="0"/>
          <w:divBdr>
            <w:top w:val="none" w:sz="0" w:space="0" w:color="auto"/>
            <w:left w:val="none" w:sz="0" w:space="0" w:color="auto"/>
            <w:bottom w:val="none" w:sz="0" w:space="0" w:color="auto"/>
            <w:right w:val="none" w:sz="0" w:space="0" w:color="auto"/>
          </w:divBdr>
          <w:divsChild>
            <w:div w:id="460274035">
              <w:marLeft w:val="0"/>
              <w:marRight w:val="0"/>
              <w:marTop w:val="0"/>
              <w:marBottom w:val="0"/>
              <w:divBdr>
                <w:top w:val="none" w:sz="0" w:space="0" w:color="auto"/>
                <w:left w:val="none" w:sz="0" w:space="0" w:color="auto"/>
                <w:bottom w:val="none" w:sz="0" w:space="0" w:color="auto"/>
                <w:right w:val="none" w:sz="0" w:space="0" w:color="auto"/>
              </w:divBdr>
              <w:divsChild>
                <w:div w:id="1018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80732">
      <w:bodyDiv w:val="1"/>
      <w:marLeft w:val="0"/>
      <w:marRight w:val="0"/>
      <w:marTop w:val="0"/>
      <w:marBottom w:val="0"/>
      <w:divBdr>
        <w:top w:val="none" w:sz="0" w:space="0" w:color="auto"/>
        <w:left w:val="none" w:sz="0" w:space="0" w:color="auto"/>
        <w:bottom w:val="none" w:sz="0" w:space="0" w:color="auto"/>
        <w:right w:val="none" w:sz="0" w:space="0" w:color="auto"/>
      </w:divBdr>
    </w:div>
    <w:div w:id="607742163">
      <w:bodyDiv w:val="1"/>
      <w:marLeft w:val="0"/>
      <w:marRight w:val="0"/>
      <w:marTop w:val="0"/>
      <w:marBottom w:val="0"/>
      <w:divBdr>
        <w:top w:val="none" w:sz="0" w:space="0" w:color="auto"/>
        <w:left w:val="none" w:sz="0" w:space="0" w:color="auto"/>
        <w:bottom w:val="none" w:sz="0" w:space="0" w:color="auto"/>
        <w:right w:val="none" w:sz="0" w:space="0" w:color="auto"/>
      </w:divBdr>
    </w:div>
    <w:div w:id="643778120">
      <w:bodyDiv w:val="1"/>
      <w:marLeft w:val="0"/>
      <w:marRight w:val="0"/>
      <w:marTop w:val="0"/>
      <w:marBottom w:val="0"/>
      <w:divBdr>
        <w:top w:val="none" w:sz="0" w:space="0" w:color="auto"/>
        <w:left w:val="none" w:sz="0" w:space="0" w:color="auto"/>
        <w:bottom w:val="none" w:sz="0" w:space="0" w:color="auto"/>
        <w:right w:val="none" w:sz="0" w:space="0" w:color="auto"/>
      </w:divBdr>
    </w:div>
    <w:div w:id="669022569">
      <w:bodyDiv w:val="1"/>
      <w:marLeft w:val="0"/>
      <w:marRight w:val="0"/>
      <w:marTop w:val="0"/>
      <w:marBottom w:val="0"/>
      <w:divBdr>
        <w:top w:val="none" w:sz="0" w:space="0" w:color="auto"/>
        <w:left w:val="none" w:sz="0" w:space="0" w:color="auto"/>
        <w:bottom w:val="none" w:sz="0" w:space="0" w:color="auto"/>
        <w:right w:val="none" w:sz="0" w:space="0" w:color="auto"/>
      </w:divBdr>
    </w:div>
    <w:div w:id="782961789">
      <w:bodyDiv w:val="1"/>
      <w:marLeft w:val="0"/>
      <w:marRight w:val="0"/>
      <w:marTop w:val="0"/>
      <w:marBottom w:val="0"/>
      <w:divBdr>
        <w:top w:val="none" w:sz="0" w:space="0" w:color="auto"/>
        <w:left w:val="none" w:sz="0" w:space="0" w:color="auto"/>
        <w:bottom w:val="none" w:sz="0" w:space="0" w:color="auto"/>
        <w:right w:val="none" w:sz="0" w:space="0" w:color="auto"/>
      </w:divBdr>
    </w:div>
    <w:div w:id="1211302704">
      <w:bodyDiv w:val="1"/>
      <w:marLeft w:val="0"/>
      <w:marRight w:val="0"/>
      <w:marTop w:val="0"/>
      <w:marBottom w:val="0"/>
      <w:divBdr>
        <w:top w:val="none" w:sz="0" w:space="0" w:color="auto"/>
        <w:left w:val="none" w:sz="0" w:space="0" w:color="auto"/>
        <w:bottom w:val="none" w:sz="0" w:space="0" w:color="auto"/>
        <w:right w:val="none" w:sz="0" w:space="0" w:color="auto"/>
      </w:divBdr>
    </w:div>
    <w:div w:id="1542208927">
      <w:bodyDiv w:val="1"/>
      <w:marLeft w:val="0"/>
      <w:marRight w:val="0"/>
      <w:marTop w:val="0"/>
      <w:marBottom w:val="0"/>
      <w:divBdr>
        <w:top w:val="none" w:sz="0" w:space="0" w:color="auto"/>
        <w:left w:val="none" w:sz="0" w:space="0" w:color="auto"/>
        <w:bottom w:val="none" w:sz="0" w:space="0" w:color="auto"/>
        <w:right w:val="none" w:sz="0" w:space="0" w:color="auto"/>
      </w:divBdr>
    </w:div>
    <w:div w:id="1672562554">
      <w:bodyDiv w:val="1"/>
      <w:marLeft w:val="0"/>
      <w:marRight w:val="0"/>
      <w:marTop w:val="0"/>
      <w:marBottom w:val="0"/>
      <w:divBdr>
        <w:top w:val="none" w:sz="0" w:space="0" w:color="auto"/>
        <w:left w:val="none" w:sz="0" w:space="0" w:color="auto"/>
        <w:bottom w:val="none" w:sz="0" w:space="0" w:color="auto"/>
        <w:right w:val="none" w:sz="0" w:space="0" w:color="auto"/>
      </w:divBdr>
    </w:div>
    <w:div w:id="1746879573">
      <w:bodyDiv w:val="1"/>
      <w:marLeft w:val="0"/>
      <w:marRight w:val="0"/>
      <w:marTop w:val="0"/>
      <w:marBottom w:val="0"/>
      <w:divBdr>
        <w:top w:val="none" w:sz="0" w:space="0" w:color="auto"/>
        <w:left w:val="none" w:sz="0" w:space="0" w:color="auto"/>
        <w:bottom w:val="none" w:sz="0" w:space="0" w:color="auto"/>
        <w:right w:val="none" w:sz="0" w:space="0" w:color="auto"/>
      </w:divBdr>
    </w:div>
    <w:div w:id="1839609251">
      <w:bodyDiv w:val="1"/>
      <w:marLeft w:val="0"/>
      <w:marRight w:val="0"/>
      <w:marTop w:val="0"/>
      <w:marBottom w:val="0"/>
      <w:divBdr>
        <w:top w:val="none" w:sz="0" w:space="0" w:color="auto"/>
        <w:left w:val="none" w:sz="0" w:space="0" w:color="auto"/>
        <w:bottom w:val="none" w:sz="0" w:space="0" w:color="auto"/>
        <w:right w:val="none" w:sz="0" w:space="0" w:color="auto"/>
      </w:divBdr>
    </w:div>
    <w:div w:id="20477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Malonie Semere</dc:creator>
  <cp:keywords/>
  <dc:description/>
  <cp:lastModifiedBy>Malonie Semere</cp:lastModifiedBy>
  <cp:revision>1</cp:revision>
  <dcterms:created xsi:type="dcterms:W3CDTF">2016-08-01T20:40:00Z</dcterms:created>
  <dcterms:modified xsi:type="dcterms:W3CDTF">2016-08-01T20:56:00Z</dcterms:modified>
</cp:coreProperties>
</file>